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36</w:t>
      </w:r>
      <w:r>
        <w:rPr>
          <w:rFonts w:ascii="Times New Roman" w:hAnsi="Times New Roman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SESSION OF THE UPR WORKING GROUP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REVIEW OF LIBYA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11 November 2020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Statement of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the Republic of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Croatia</w:t>
      </w:r>
    </w:p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en-US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adam </w:t>
      </w:r>
      <w:r>
        <w:rPr>
          <w:rFonts w:ascii="Times New Roman" w:hAnsi="Times New Roman"/>
          <w:sz w:val="24"/>
          <w:szCs w:val="24"/>
          <w:rtl w:val="0"/>
          <w:lang w:val="en-US"/>
        </w:rPr>
        <w:t>President,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</w:t>
      </w:r>
      <w:r>
        <w:rPr>
          <w:rFonts w:ascii="Times New Roman" w:hAnsi="Times New Roman"/>
          <w:sz w:val="24"/>
          <w:szCs w:val="24"/>
          <w:rtl w:val="0"/>
          <w:lang w:val="en-US"/>
        </w:rPr>
        <w:t>welcome the delegation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Libya and thank them for the presentation of their report. 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Croatia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appreciates </w:t>
      </w:r>
      <w:r>
        <w:rPr>
          <w:rFonts w:ascii="Times New Roman" w:hAnsi="Times New Roman"/>
          <w:sz w:val="24"/>
          <w:szCs w:val="24"/>
          <w:rtl w:val="0"/>
          <w:lang w:val="en-US"/>
        </w:rPr>
        <w:t>Libya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ratification of almost all major human rights treaties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as well as its commitment to the issue of casualty recording</w:t>
      </w:r>
      <w:r>
        <w:rPr>
          <w:rFonts w:ascii="Times New Roman" w:hAnsi="Times New Roman"/>
          <w:sz w:val="24"/>
          <w:szCs w:val="24"/>
          <w:rtl w:val="0"/>
          <w:lang w:val="en-US"/>
        </w:rPr>
        <w:t>. However, m</w:t>
      </w:r>
      <w:r>
        <w:rPr>
          <w:rFonts w:ascii="Times New Roman" w:hAnsi="Times New Roman"/>
          <w:sz w:val="24"/>
          <w:szCs w:val="24"/>
          <w:rtl w:val="0"/>
          <w:lang w:val="en-US"/>
        </w:rPr>
        <w:t>ore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remains to be done in terms of ensuring </w:t>
      </w:r>
      <w:r>
        <w:rPr>
          <w:rFonts w:ascii="Times New Roman" w:hAnsi="Times New Roman"/>
          <w:sz w:val="24"/>
          <w:szCs w:val="24"/>
          <w:rtl w:val="0"/>
          <w:lang w:val="en-US"/>
        </w:rPr>
        <w:t>equal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enjoyment of human rights </w:t>
      </w:r>
      <w:r>
        <w:rPr>
          <w:rFonts w:ascii="Times New Roman" w:hAnsi="Times New Roman"/>
          <w:sz w:val="24"/>
          <w:szCs w:val="24"/>
          <w:rtl w:val="0"/>
          <w:lang w:val="en-US"/>
        </w:rPr>
        <w:t>for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all segments of society.</w:t>
      </w: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are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concerned about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reports showing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practice of torture,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arbitrary detention and extrajudicial killings,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well as cases of </w:t>
      </w:r>
      <w:r>
        <w:rPr>
          <w:rFonts w:ascii="Times New Roman" w:hAnsi="Times New Roman"/>
          <w:sz w:val="24"/>
          <w:szCs w:val="24"/>
          <w:rtl w:val="0"/>
          <w:lang w:val="en-US"/>
        </w:rPr>
        <w:t>enforced disappearances</w:t>
      </w:r>
      <w:r>
        <w:rPr>
          <w:rFonts w:ascii="Times New Roman" w:hAnsi="Times New Roman"/>
          <w:sz w:val="24"/>
          <w:szCs w:val="24"/>
          <w:rtl w:val="0"/>
          <w:lang w:val="en-US"/>
        </w:rPr>
        <w:t>. Im</w:t>
      </w:r>
      <w:r>
        <w:rPr>
          <w:rFonts w:ascii="Times New Roman" w:hAnsi="Times New Roman"/>
          <w:sz w:val="24"/>
          <w:szCs w:val="24"/>
          <w:rtl w:val="0"/>
          <w:lang w:val="en-US"/>
        </w:rPr>
        <w:t>punity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</w:t>
      </w:r>
      <w:r>
        <w:rPr>
          <w:rFonts w:ascii="Times New Roman" w:hAnsi="Times New Roman"/>
          <w:sz w:val="24"/>
          <w:szCs w:val="24"/>
          <w:rtl w:val="0"/>
          <w:lang w:val="en-US"/>
        </w:rPr>
        <w:t>or abuses and violations of human rights and international humanitarian law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must be addressed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Gender-based violence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by all sides of the conflict is of a particular concern, while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discrimination against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remain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 challenge, with serious legislative gaps.</w:t>
      </w:r>
    </w:p>
    <w:p>
      <w:pPr>
        <w:pStyle w:val="Body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We have </w:t>
      </w:r>
      <w:r>
        <w:rPr>
          <w:rFonts w:ascii="Times New Roman" w:hAnsi="Times New Roman"/>
          <w:sz w:val="24"/>
          <w:szCs w:val="24"/>
          <w:rtl w:val="0"/>
          <w:lang w:val="en-US"/>
        </w:rPr>
        <w:t>two recommendations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Libya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Ratify the Rome Statute establishing the International Criminal Court, with the aim of fighting impunity;</w:t>
      </w:r>
    </w:p>
    <w:p>
      <w:pPr>
        <w:pStyle w:val="List Paragraph"/>
        <w:tabs>
          <w:tab w:val="left" w:pos="1019"/>
        </w:tabs>
        <w:bidi w:val="0"/>
        <w:spacing w:line="240" w:lineRule="auto"/>
        <w:ind w:left="0" w:right="0" w:firstLine="0"/>
        <w:jc w:val="both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Ratify the Second Optional Protocol to the International Covenant on Civil and Political Rights, aiming at the abolition of the death penalty; </w:t>
      </w:r>
    </w:p>
    <w:p>
      <w:pPr>
        <w:pStyle w:val="List Paragraph"/>
        <w:rPr>
          <w:b w:val="1"/>
          <w:bCs w:val="1"/>
          <w:sz w:val="24"/>
          <w:szCs w:val="24"/>
          <w:lang w:val="en-US"/>
        </w:rPr>
      </w:pPr>
    </w:p>
    <w:p>
      <w:pPr>
        <w:pStyle w:val="Body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Croatia wishes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Libya </w:t>
      </w:r>
      <w:r>
        <w:rPr>
          <w:rFonts w:ascii="Times New Roman" w:hAnsi="Times New Roman"/>
          <w:sz w:val="24"/>
          <w:szCs w:val="24"/>
          <w:rtl w:val="0"/>
          <w:lang w:val="en-US"/>
        </w:rPr>
        <w:t>a successful review session.</w:t>
      </w:r>
    </w:p>
    <w:p>
      <w:pPr>
        <w:pStyle w:val="Body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/>
          <w:sz w:val="24"/>
          <w:szCs w:val="24"/>
          <w:rtl w:val="0"/>
          <w:lang w:val="en-US"/>
        </w:rPr>
        <w:t>hank you.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019"/>
        </w:tabs>
        <w:ind w:left="643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19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19"/>
        </w:tabs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19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19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19"/>
        </w:tabs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19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19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19"/>
        </w:tabs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94AC7-DF89-4ACE-BC07-7DD37901B817}"/>
</file>

<file path=customXml/itemProps2.xml><?xml version="1.0" encoding="utf-8"?>
<ds:datastoreItem xmlns:ds="http://schemas.openxmlformats.org/officeDocument/2006/customXml" ds:itemID="{1623BDA7-7C51-47D2-8DC4-81AF1E95367C}"/>
</file>

<file path=customXml/itemProps3.xml><?xml version="1.0" encoding="utf-8"?>
<ds:datastoreItem xmlns:ds="http://schemas.openxmlformats.org/officeDocument/2006/customXml" ds:itemID="{D835540F-74C4-41AA-A2DA-8120A56682D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