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9" w:rsidRDefault="00B659B9" w:rsidP="00B659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U.S. Statement at the Universal Periodic Review of Libya,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Style w:val="normaltextrun"/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 Session, November 11, 2020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The United States welcomes the Libyan delegation.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We recommend Libya: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Provide access to the UN Fact Finding Mission to credibly investigate human rights abuses and violations, including the mass graves at </w:t>
      </w:r>
      <w:r>
        <w:rPr>
          <w:rStyle w:val="spellingerror"/>
          <w:rFonts w:ascii="Times New Roman" w:hAnsi="Times New Roman" w:cs="Times New Roman"/>
          <w:sz w:val="28"/>
          <w:szCs w:val="28"/>
        </w:rPr>
        <w:t>Tarhouna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 and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hold  those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> responsible accountable.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Investigate all forced disappearances, and charge or release those arbitrarily or unlawfully detained. 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Facilitate access for international NGOs and UN bodies to mass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grave sites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and detention centers.  Protect detainees from violence, exploitation, and abuse by smugglers, and hold those responsible for such acts accountable.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Amend Presidency Council Decree 286 of 2019 to respect freedom of association.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659B9" w:rsidRDefault="00B659B9" w:rsidP="00B659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We are concerned by reports of targeted assassinations and abductions of civil society activists. We express concern about contamination by mines and booby traps around Tripoli, the massacre of migrants in </w:t>
      </w:r>
      <w:r>
        <w:rPr>
          <w:rStyle w:val="spellingerror"/>
          <w:rFonts w:ascii="Times New Roman" w:hAnsi="Times New Roman" w:cs="Times New Roman"/>
          <w:sz w:val="28"/>
          <w:szCs w:val="28"/>
        </w:rPr>
        <w:t>Mizda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 and the unlawful recruitment and use of child soldiers by the GNA and the LNA. 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536CEA" w:rsidRDefault="00536CEA"/>
    <w:sectPr w:rsidR="00536CEA" w:rsidSect="009A30D0">
      <w:pgSz w:w="12240" w:h="15840"/>
      <w:pgMar w:top="1440" w:right="1080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4AA"/>
    <w:multiLevelType w:val="multilevel"/>
    <w:tmpl w:val="5A5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27435"/>
    <w:multiLevelType w:val="multilevel"/>
    <w:tmpl w:val="B4C8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36791"/>
    <w:multiLevelType w:val="multilevel"/>
    <w:tmpl w:val="FB407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B7AF3"/>
    <w:multiLevelType w:val="multilevel"/>
    <w:tmpl w:val="0B10A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9"/>
    <w:rsid w:val="00536CEA"/>
    <w:rsid w:val="009A30D0"/>
    <w:rsid w:val="00B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CE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B659B9"/>
  </w:style>
  <w:style w:type="character" w:customStyle="1" w:styleId="eop">
    <w:name w:val="eop"/>
    <w:basedOn w:val="DefaultParagraphFont"/>
    <w:rsid w:val="00B659B9"/>
  </w:style>
  <w:style w:type="character" w:customStyle="1" w:styleId="spellingerror">
    <w:name w:val="spellingerror"/>
    <w:basedOn w:val="DefaultParagraphFont"/>
    <w:rsid w:val="00B659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B659B9"/>
  </w:style>
  <w:style w:type="character" w:customStyle="1" w:styleId="eop">
    <w:name w:val="eop"/>
    <w:basedOn w:val="DefaultParagraphFont"/>
    <w:rsid w:val="00B659B9"/>
  </w:style>
  <w:style w:type="character" w:customStyle="1" w:styleId="spellingerror">
    <w:name w:val="spellingerror"/>
    <w:basedOn w:val="DefaultParagraphFont"/>
    <w:rsid w:val="00B6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4EC05-AAF7-4FAF-8DC7-FD106227F69F}"/>
</file>

<file path=customXml/itemProps2.xml><?xml version="1.0" encoding="utf-8"?>
<ds:datastoreItem xmlns:ds="http://schemas.openxmlformats.org/officeDocument/2006/customXml" ds:itemID="{C71E33E8-5AA9-4032-89E1-43A0FD277A59}"/>
</file>

<file path=customXml/itemProps3.xml><?xml version="1.0" encoding="utf-8"?>
<ds:datastoreItem xmlns:ds="http://schemas.openxmlformats.org/officeDocument/2006/customXml" ds:itemID="{174B4D17-F384-412C-8BCA-332DD7C85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Puzniak</dc:creator>
  <cp:keywords/>
  <dc:description/>
  <cp:lastModifiedBy>Carly Puzniak</cp:lastModifiedBy>
  <cp:revision>1</cp:revision>
  <dcterms:created xsi:type="dcterms:W3CDTF">2020-11-02T12:50:00Z</dcterms:created>
  <dcterms:modified xsi:type="dcterms:W3CDTF">2020-11-02T12:50:00Z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