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E723" w14:textId="77777777" w:rsidR="0036472D" w:rsidRDefault="009858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BE2263E" w14:textId="4E47D5C6" w:rsidR="0036472D" w:rsidRDefault="009858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Statement by H.E. Pendapala A. Naanda, Ambassador/Permanent Representative, during the Interactive Dialogue on the Universal Periodic Review </w:t>
      </w:r>
      <w:r w:rsidR="00C33A42">
        <w:rPr>
          <w:rFonts w:ascii="Times New Roman" w:hAnsi="Times New Roman"/>
          <w:b/>
          <w:bCs/>
          <w:sz w:val="28"/>
          <w:szCs w:val="28"/>
        </w:rPr>
        <w:t xml:space="preserve">of </w:t>
      </w:r>
      <w:r w:rsidR="00513617">
        <w:rPr>
          <w:rFonts w:ascii="Times New Roman" w:hAnsi="Times New Roman"/>
          <w:b/>
          <w:bCs/>
          <w:sz w:val="28"/>
          <w:szCs w:val="28"/>
        </w:rPr>
        <w:t>Croatia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13617">
        <w:rPr>
          <w:rFonts w:ascii="Times New Roman" w:hAnsi="Times New Roman"/>
          <w:b/>
          <w:bCs/>
          <w:sz w:val="28"/>
          <w:szCs w:val="28"/>
        </w:rPr>
        <w:t>10</w:t>
      </w:r>
      <w:r w:rsidR="009015AF">
        <w:rPr>
          <w:rFonts w:ascii="Times New Roman" w:hAnsi="Times New Roman"/>
          <w:b/>
          <w:bCs/>
          <w:sz w:val="28"/>
          <w:szCs w:val="28"/>
        </w:rPr>
        <w:t xml:space="preserve"> November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C33A42">
        <w:rPr>
          <w:rFonts w:ascii="Times New Roman" w:hAnsi="Times New Roman"/>
          <w:b/>
          <w:bCs/>
          <w:sz w:val="28"/>
          <w:szCs w:val="28"/>
        </w:rPr>
        <w:t xml:space="preserve">020 </w:t>
      </w:r>
    </w:p>
    <w:p w14:paraId="5DE21461" w14:textId="77777777" w:rsidR="0036472D" w:rsidRDefault="0036472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4F9911" w14:textId="50611527" w:rsidR="00386F4C" w:rsidRPr="004732B9" w:rsidRDefault="00985834" w:rsidP="00386F4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732B9">
        <w:rPr>
          <w:rFonts w:ascii="Times New Roman" w:hAnsi="Times New Roman"/>
          <w:sz w:val="28"/>
          <w:szCs w:val="28"/>
        </w:rPr>
        <w:t xml:space="preserve">Thank you, </w:t>
      </w:r>
      <w:r w:rsidR="00513617" w:rsidRPr="004732B9">
        <w:rPr>
          <w:rFonts w:ascii="Times New Roman" w:hAnsi="Times New Roman"/>
          <w:sz w:val="28"/>
          <w:szCs w:val="28"/>
        </w:rPr>
        <w:t>Madam</w:t>
      </w:r>
      <w:r w:rsidRPr="004732B9">
        <w:rPr>
          <w:rFonts w:ascii="Times New Roman" w:hAnsi="Times New Roman"/>
          <w:sz w:val="28"/>
          <w:szCs w:val="28"/>
        </w:rPr>
        <w:t>. President,</w:t>
      </w:r>
    </w:p>
    <w:p w14:paraId="64501B34" w14:textId="1E0EC9D4" w:rsidR="00513617" w:rsidRPr="004732B9" w:rsidRDefault="00513617" w:rsidP="005136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732B9">
        <w:rPr>
          <w:rFonts w:ascii="Times New Roman" w:hAnsi="Times New Roman"/>
          <w:sz w:val="28"/>
          <w:szCs w:val="28"/>
        </w:rPr>
        <w:t xml:space="preserve">Namibia warmly welcomes the delegation of </w:t>
      </w:r>
      <w:r w:rsidRPr="004732B9">
        <w:rPr>
          <w:rFonts w:ascii="Times New Roman" w:hAnsi="Times New Roman"/>
          <w:sz w:val="28"/>
          <w:szCs w:val="28"/>
        </w:rPr>
        <w:t>Croatia</w:t>
      </w:r>
      <w:r w:rsidRPr="004732B9">
        <w:rPr>
          <w:rFonts w:ascii="Times New Roman" w:hAnsi="Times New Roman"/>
          <w:sz w:val="28"/>
          <w:szCs w:val="28"/>
        </w:rPr>
        <w:t xml:space="preserve"> to this Session of the UPR and commends them on presenting their elaborative national report</w:t>
      </w:r>
      <w:r w:rsidRPr="004732B9">
        <w:rPr>
          <w:rFonts w:ascii="Times New Roman" w:hAnsi="Times New Roman"/>
          <w:sz w:val="28"/>
          <w:szCs w:val="28"/>
        </w:rPr>
        <w:t xml:space="preserve"> as well as</w:t>
      </w:r>
      <w:r w:rsidRPr="004732B9">
        <w:rPr>
          <w:rFonts w:ascii="Times New Roman" w:hAnsi="Times New Roman"/>
          <w:sz w:val="28"/>
          <w:szCs w:val="28"/>
        </w:rPr>
        <w:t xml:space="preserve"> for </w:t>
      </w:r>
      <w:r w:rsidRPr="004732B9">
        <w:rPr>
          <w:rFonts w:ascii="Times New Roman" w:hAnsi="Times New Roman"/>
          <w:sz w:val="28"/>
          <w:szCs w:val="28"/>
        </w:rPr>
        <w:t xml:space="preserve">the </w:t>
      </w:r>
      <w:r w:rsidRPr="004732B9">
        <w:rPr>
          <w:rFonts w:ascii="Times New Roman" w:hAnsi="Times New Roman"/>
          <w:sz w:val="28"/>
          <w:szCs w:val="28"/>
        </w:rPr>
        <w:t xml:space="preserve">actions taken with regards to the implementation of various recommendations made during the previous review. We especially applaud </w:t>
      </w:r>
      <w:r w:rsidRPr="004732B9">
        <w:rPr>
          <w:rFonts w:ascii="Times New Roman" w:hAnsi="Times New Roman"/>
          <w:sz w:val="28"/>
          <w:szCs w:val="28"/>
        </w:rPr>
        <w:t xml:space="preserve">Croatia for adopting a </w:t>
      </w:r>
      <w:r w:rsidRPr="004732B9">
        <w:rPr>
          <w:rFonts w:ascii="Times New Roman" w:hAnsi="Times New Roman"/>
          <w:sz w:val="28"/>
          <w:szCs w:val="28"/>
        </w:rPr>
        <w:t>National Anti-discrimination Plan for the period 2017-2022</w:t>
      </w:r>
      <w:r w:rsidRPr="004732B9">
        <w:rPr>
          <w:rFonts w:ascii="Times New Roman" w:hAnsi="Times New Roman"/>
          <w:sz w:val="28"/>
          <w:szCs w:val="28"/>
        </w:rPr>
        <w:t xml:space="preserve">, which is indicative of its commitment to fight the centuries old evils of racism, xenophobia, and related intolerances. </w:t>
      </w:r>
    </w:p>
    <w:p w14:paraId="386184AF" w14:textId="77777777" w:rsidR="00513617" w:rsidRPr="004732B9" w:rsidRDefault="00513617" w:rsidP="00513617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14:paraId="70308B2E" w14:textId="5AAD7C20" w:rsidR="00513617" w:rsidRPr="004732B9" w:rsidRDefault="00513617" w:rsidP="005136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732B9">
        <w:rPr>
          <w:rFonts w:ascii="Times New Roman" w:hAnsi="Times New Roman"/>
          <w:sz w:val="28"/>
          <w:szCs w:val="28"/>
        </w:rPr>
        <w:t xml:space="preserve">In the spirit of constructive dialogue, we make the following recommendations for consideration by Croatia: </w:t>
      </w:r>
    </w:p>
    <w:p w14:paraId="5B7CE03E" w14:textId="77777777" w:rsidR="0032716B" w:rsidRPr="004732B9" w:rsidRDefault="0032716B" w:rsidP="0032716B">
      <w:pPr>
        <w:pStyle w:val="ListParagraph"/>
        <w:rPr>
          <w:rFonts w:ascii="Times New Roman" w:hAnsi="Times New Roman"/>
          <w:sz w:val="28"/>
          <w:szCs w:val="28"/>
        </w:rPr>
      </w:pPr>
    </w:p>
    <w:p w14:paraId="06D4F523" w14:textId="3D5A9C09" w:rsidR="0032716B" w:rsidRPr="004732B9" w:rsidRDefault="0032716B" w:rsidP="0032716B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4732B9">
        <w:rPr>
          <w:rFonts w:ascii="Times New Roman" w:hAnsi="Times New Roman"/>
          <w:sz w:val="28"/>
          <w:szCs w:val="28"/>
        </w:rPr>
        <w:t xml:space="preserve">Take concrete steps to fully </w:t>
      </w:r>
      <w:proofErr w:type="spellStart"/>
      <w:r w:rsidRPr="004732B9">
        <w:rPr>
          <w:rFonts w:ascii="Times New Roman" w:hAnsi="Times New Roman"/>
          <w:sz w:val="28"/>
          <w:szCs w:val="28"/>
        </w:rPr>
        <w:t>harmonise</w:t>
      </w:r>
      <w:proofErr w:type="spellEnd"/>
      <w:r w:rsidRPr="004732B9">
        <w:rPr>
          <w:rFonts w:ascii="Times New Roman" w:hAnsi="Times New Roman"/>
          <w:sz w:val="28"/>
          <w:szCs w:val="28"/>
        </w:rPr>
        <w:t xml:space="preserve"> legislative and policy framework pertaining to gender-based violence with the standards set out in the</w:t>
      </w:r>
      <w:r w:rsidRPr="004732B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732B9">
          <w:rPr>
            <w:rStyle w:val="Hyperlink"/>
            <w:rFonts w:ascii="Times New Roman" w:hAnsi="Times New Roman"/>
            <w:sz w:val="28"/>
            <w:szCs w:val="28"/>
            <w:u w:val="none"/>
            <w:lang w:val="en-GB"/>
          </w:rPr>
          <w:t>Istanbul Convention</w:t>
        </w:r>
      </w:hyperlink>
      <w:r w:rsidRPr="004732B9">
        <w:rPr>
          <w:rFonts w:ascii="Times New Roman" w:hAnsi="Times New Roman"/>
          <w:sz w:val="28"/>
          <w:szCs w:val="28"/>
        </w:rPr>
        <w:t xml:space="preserve">. </w:t>
      </w:r>
    </w:p>
    <w:p w14:paraId="5820E3F1" w14:textId="77777777" w:rsidR="004732B9" w:rsidRPr="004732B9" w:rsidRDefault="004732B9" w:rsidP="004732B9">
      <w:pPr>
        <w:pStyle w:val="ListParagraph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C7FBCDA" w14:textId="16FBA3E0" w:rsidR="0032716B" w:rsidRPr="004732B9" w:rsidRDefault="004732B9" w:rsidP="0032716B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732B9">
        <w:rPr>
          <w:rFonts w:ascii="Times New Roman" w:hAnsi="Times New Roman"/>
          <w:sz w:val="28"/>
          <w:szCs w:val="28"/>
        </w:rPr>
        <w:t>S</w:t>
      </w:r>
      <w:r w:rsidR="0032716B" w:rsidRPr="004732B9">
        <w:rPr>
          <w:rFonts w:ascii="Times New Roman" w:hAnsi="Times New Roman"/>
          <w:sz w:val="28"/>
          <w:szCs w:val="28"/>
        </w:rPr>
        <w:t xml:space="preserve">trengthen measures to address overcrowding in detention </w:t>
      </w:r>
      <w:proofErr w:type="spellStart"/>
      <w:r w:rsidR="0032716B" w:rsidRPr="004732B9">
        <w:rPr>
          <w:rFonts w:ascii="Times New Roman" w:hAnsi="Times New Roman"/>
          <w:sz w:val="28"/>
          <w:szCs w:val="28"/>
        </w:rPr>
        <w:t>centres</w:t>
      </w:r>
      <w:proofErr w:type="spellEnd"/>
      <w:r w:rsidR="0032716B" w:rsidRPr="004732B9">
        <w:rPr>
          <w:rFonts w:ascii="Times New Roman" w:hAnsi="Times New Roman"/>
          <w:sz w:val="28"/>
          <w:szCs w:val="28"/>
        </w:rPr>
        <w:t xml:space="preserve"> and prisons</w:t>
      </w:r>
      <w:r w:rsidRPr="004732B9">
        <w:rPr>
          <w:rFonts w:ascii="Times New Roman" w:hAnsi="Times New Roman"/>
          <w:sz w:val="28"/>
          <w:szCs w:val="28"/>
        </w:rPr>
        <w:t xml:space="preserve">. </w:t>
      </w:r>
    </w:p>
    <w:p w14:paraId="22C6DE0E" w14:textId="0B2C00F0" w:rsidR="0036472D" w:rsidRPr="004732B9" w:rsidRDefault="00985834">
      <w:pPr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32B9">
        <w:rPr>
          <w:rStyle w:val="PageNumber"/>
          <w:rFonts w:ascii="Times New Roman" w:hAnsi="Times New Roman"/>
          <w:sz w:val="28"/>
          <w:szCs w:val="28"/>
        </w:rPr>
        <w:t>I thank you, M</w:t>
      </w:r>
      <w:r w:rsidR="004732B9" w:rsidRPr="004732B9">
        <w:rPr>
          <w:rStyle w:val="PageNumber"/>
          <w:rFonts w:ascii="Times New Roman" w:hAnsi="Times New Roman"/>
          <w:sz w:val="28"/>
          <w:szCs w:val="28"/>
        </w:rPr>
        <w:t>adam</w:t>
      </w:r>
      <w:r w:rsidRPr="004732B9">
        <w:rPr>
          <w:rStyle w:val="PageNumber"/>
          <w:rFonts w:ascii="Times New Roman" w:hAnsi="Times New Roman"/>
          <w:sz w:val="28"/>
          <w:szCs w:val="28"/>
        </w:rPr>
        <w:t xml:space="preserve">. President. </w:t>
      </w:r>
    </w:p>
    <w:sectPr w:rsidR="0036472D" w:rsidRPr="004732B9">
      <w:footerReference w:type="default" r:id="rId8"/>
      <w:headerReference w:type="first" r:id="rId9"/>
      <w:footerReference w:type="first" r:id="rId10"/>
      <w:pgSz w:w="11900" w:h="16840"/>
      <w:pgMar w:top="1977" w:right="992" w:bottom="539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672E" w14:textId="77777777" w:rsidR="0031452D" w:rsidRDefault="0031452D">
      <w:pPr>
        <w:spacing w:after="0" w:line="240" w:lineRule="auto"/>
      </w:pPr>
      <w:r>
        <w:separator/>
      </w:r>
    </w:p>
  </w:endnote>
  <w:endnote w:type="continuationSeparator" w:id="0">
    <w:p w14:paraId="3F327EC0" w14:textId="77777777" w:rsidR="0031452D" w:rsidRDefault="0031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7C20" w14:textId="77777777" w:rsidR="0036472D" w:rsidRDefault="0098583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675A" w14:textId="77777777" w:rsidR="0036472D" w:rsidRDefault="00985834">
    <w:pPr>
      <w:pStyle w:val="Footer"/>
      <w:jc w:val="center"/>
    </w:pPr>
    <w:r>
      <w:rPr>
        <w:rFonts w:ascii="Arial" w:hAnsi="Arial"/>
        <w:sz w:val="20"/>
        <w:szCs w:val="20"/>
      </w:rPr>
      <w:t xml:space="preserve">All official correspondence should be addressed to the Head of Mission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8757A" w14:textId="77777777" w:rsidR="0031452D" w:rsidRDefault="0031452D">
      <w:pPr>
        <w:spacing w:after="0" w:line="240" w:lineRule="auto"/>
      </w:pPr>
      <w:r>
        <w:separator/>
      </w:r>
    </w:p>
  </w:footnote>
  <w:footnote w:type="continuationSeparator" w:id="0">
    <w:p w14:paraId="25ED73FA" w14:textId="77777777" w:rsidR="0031452D" w:rsidRDefault="0031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9ED7" w14:textId="5DF9468E" w:rsidR="0036472D" w:rsidRDefault="006B3DBD">
    <w:pPr>
      <w:pStyle w:val="Header"/>
      <w:jc w:val="center"/>
    </w:pPr>
    <w:r>
      <w:rPr>
        <w:noProof/>
      </w:rPr>
      <w:drawing>
        <wp:inline distT="0" distB="0" distL="0" distR="0" wp14:anchorId="00C6C5F9" wp14:editId="33123EA0">
          <wp:extent cx="951230" cy="10668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5834">
      <w:rPr>
        <w:rStyle w:val="PageNumber"/>
        <w:noProof/>
      </w:rPr>
      <mc:AlternateContent>
        <mc:Choice Requires="wps">
          <w:drawing>
            <wp:inline distT="0" distB="0" distL="0" distR="0" wp14:anchorId="05D823A5" wp14:editId="01585EA1">
              <wp:extent cx="951231" cy="1061086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1231" cy="10610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6EB177FE" id="officeArt object" o:spid="_x0000_s1026" style="width:74.9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" filled="f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1938"/>
    <w:multiLevelType w:val="multilevel"/>
    <w:tmpl w:val="B9FC997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6D2340"/>
    <w:multiLevelType w:val="multilevel"/>
    <w:tmpl w:val="B9FC9978"/>
    <w:numStyleLink w:val="ImportedStyle1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2D"/>
    <w:rsid w:val="0013242D"/>
    <w:rsid w:val="002C15E3"/>
    <w:rsid w:val="0031452D"/>
    <w:rsid w:val="0032716B"/>
    <w:rsid w:val="0036472D"/>
    <w:rsid w:val="00386F4C"/>
    <w:rsid w:val="003E07B4"/>
    <w:rsid w:val="00416E9F"/>
    <w:rsid w:val="004732B9"/>
    <w:rsid w:val="004F7D94"/>
    <w:rsid w:val="00513617"/>
    <w:rsid w:val="0052414F"/>
    <w:rsid w:val="005423BF"/>
    <w:rsid w:val="00592DC3"/>
    <w:rsid w:val="005B59C8"/>
    <w:rsid w:val="005E0948"/>
    <w:rsid w:val="006B3DBD"/>
    <w:rsid w:val="007859D9"/>
    <w:rsid w:val="0079609B"/>
    <w:rsid w:val="009015AF"/>
    <w:rsid w:val="00985834"/>
    <w:rsid w:val="00AE2ADE"/>
    <w:rsid w:val="00BA2EBF"/>
    <w:rsid w:val="00BA7BA5"/>
    <w:rsid w:val="00C33A42"/>
    <w:rsid w:val="00D511B0"/>
    <w:rsid w:val="00E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329BD"/>
  <w15:docId w15:val="{D0CB2414-2542-46CE-B0C1-4EB8BEE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link w:val="Heading1Char"/>
    <w:uiPriority w:val="9"/>
    <w:qFormat/>
    <w:rsid w:val="00327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PageNumber">
    <w:name w:val="page number"/>
  </w:style>
  <w:style w:type="paragraph" w:styleId="Header">
    <w:name w:val="head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324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716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27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coe.int/en/web/istanbul-conven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BA3FD-B802-4AC8-8A04-0B40679CBFDC}"/>
</file>

<file path=customXml/itemProps2.xml><?xml version="1.0" encoding="utf-8"?>
<ds:datastoreItem xmlns:ds="http://schemas.openxmlformats.org/officeDocument/2006/customXml" ds:itemID="{90CBD201-F275-44C6-8620-E448BFD7F0D0}"/>
</file>

<file path=customXml/itemProps3.xml><?xml version="1.0" encoding="utf-8"?>
<ds:datastoreItem xmlns:ds="http://schemas.openxmlformats.org/officeDocument/2006/customXml" ds:itemID="{785AAD1C-E262-43EA-9BD1-4053CDCCC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Ben Shingenge</cp:lastModifiedBy>
  <cp:revision>2</cp:revision>
  <dcterms:created xsi:type="dcterms:W3CDTF">2020-11-06T14:52:00Z</dcterms:created>
  <dcterms:modified xsi:type="dcterms:W3CDTF">2020-11-06T14:52:00Z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