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B186" w14:textId="77777777" w:rsidR="00320DEA" w:rsidRDefault="00320DEA" w:rsidP="00320DE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320DEA" w14:paraId="28002770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8270F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>A M B A S S A D E   DU TOGO</w:t>
            </w:r>
          </w:p>
          <w:p w14:paraId="426F724B" w14:textId="01F18208" w:rsidR="00320DEA" w:rsidRDefault="00320DEA">
            <w:pPr>
              <w:pStyle w:val="Normal1"/>
              <w:widowControl w:val="0"/>
              <w:spacing w:line="256" w:lineRule="auto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7C1AD6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08D39" w14:textId="343B48C8" w:rsidR="00320DEA" w:rsidRDefault="00320DEA">
            <w:pPr>
              <w:pStyle w:val="En-tte"/>
              <w:spacing w:line="256" w:lineRule="auto"/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0F792463" wp14:editId="134E0C51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C5972" w14:textId="77777777" w:rsidR="00824832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F576AB">
              <w:rPr>
                <w:rFonts w:ascii="Times New Roman" w:eastAsia="WenQuanYi Micro Hei" w:hAnsi="Times New Roman" w:cs="Times New Roman"/>
                <w:lang w:val="fr-FR"/>
              </w:rPr>
              <w:t xml:space="preserve">                   </w:t>
            </w:r>
            <w:r w:rsidR="00824832">
              <w:rPr>
                <w:rFonts w:ascii="Times New Roman" w:eastAsia="WenQuanYi Micro Hei" w:hAnsi="Times New Roman" w:cs="Times New Roman"/>
                <w:lang w:val="fr-FR"/>
              </w:rPr>
              <w:t xml:space="preserve">    </w:t>
            </w:r>
          </w:p>
          <w:p w14:paraId="06B6A5B8" w14:textId="021DC863" w:rsidR="00320DEA" w:rsidRDefault="00824832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 xml:space="preserve">             </w:t>
            </w:r>
            <w:r w:rsidR="00320DEA"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320DEA" w14:paraId="24D11C6B" w14:textId="77777777" w:rsidTr="00320DEA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5B1E1" w14:textId="77777777" w:rsidR="00320DEA" w:rsidRDefault="00320DEA">
            <w:pPr>
              <w:pStyle w:val="En-tte"/>
              <w:spacing w:line="256" w:lineRule="auto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5D56F" w14:textId="77777777" w:rsidR="00320DEA" w:rsidRDefault="00320DEA">
            <w:pPr>
              <w:pStyle w:val="En-tte"/>
              <w:spacing w:line="256" w:lineRule="auto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9F536" w14:textId="77777777" w:rsidR="00320DEA" w:rsidRDefault="00320DEA">
            <w:pPr>
              <w:pStyle w:val="En-tte"/>
              <w:spacing w:line="256" w:lineRule="auto"/>
            </w:pPr>
          </w:p>
        </w:tc>
      </w:tr>
    </w:tbl>
    <w:p w14:paraId="053BFBD5" w14:textId="77777777" w:rsidR="00320DEA" w:rsidRDefault="00320DEA" w:rsidP="00320DEA">
      <w:pPr>
        <w:pStyle w:val="Normal1"/>
      </w:pPr>
    </w:p>
    <w:p w14:paraId="6938CE61" w14:textId="77777777" w:rsidR="00320DEA" w:rsidRDefault="00320DEA" w:rsidP="00320DEA">
      <w:pPr>
        <w:pStyle w:val="Normal1"/>
      </w:pPr>
    </w:p>
    <w:p w14:paraId="43523B53" w14:textId="77777777" w:rsidR="00320DEA" w:rsidRDefault="00320DEA" w:rsidP="00320DEA">
      <w:pPr>
        <w:pStyle w:val="Normal1"/>
      </w:pPr>
    </w:p>
    <w:p w14:paraId="44BAC20F" w14:textId="77777777" w:rsidR="00320DEA" w:rsidRDefault="00320DEA" w:rsidP="00320DEA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4BB38A4C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1CD5F13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EC53118" w14:textId="68D8F0CD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3</w:t>
      </w:r>
      <w:r w:rsidR="00322B34">
        <w:rPr>
          <w:rFonts w:ascii="Times New Roman" w:hAnsi="Times New Roman"/>
          <w:b/>
          <w:sz w:val="32"/>
          <w:szCs w:val="32"/>
          <w:lang w:eastAsia="en-US" w:bidi="ar-SA"/>
        </w:rPr>
        <w:t>6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0BCBE897" w14:textId="77777777" w:rsidR="007C383F" w:rsidRDefault="007C383F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DF953B6" w14:textId="0761E809" w:rsidR="00320DEA" w:rsidRDefault="00133D22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Du </w:t>
      </w:r>
      <w:r w:rsidR="007C383F">
        <w:rPr>
          <w:rFonts w:ascii="Times New Roman" w:hAnsi="Times New Roman"/>
          <w:b/>
          <w:sz w:val="32"/>
          <w:szCs w:val="32"/>
          <w:lang w:eastAsia="en-US" w:bidi="ar-SA"/>
        </w:rPr>
        <w:t>02 au 13 novembre 2020</w:t>
      </w:r>
    </w:p>
    <w:p w14:paraId="110D5FD6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9224BD0" w14:textId="77777777" w:rsidR="00320DEA" w:rsidRDefault="00320DEA" w:rsidP="00320DE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3C357CF" w14:textId="14A0C5BF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Examen du rapport </w:t>
      </w:r>
      <w:r w:rsidR="005252CE">
        <w:rPr>
          <w:rFonts w:ascii="Times New Roman" w:hAnsi="Times New Roman"/>
          <w:b/>
          <w:sz w:val="32"/>
          <w:szCs w:val="32"/>
          <w:lang w:eastAsia="en-US" w:bidi="ar-SA"/>
        </w:rPr>
        <w:t>de la Libye</w:t>
      </w:r>
    </w:p>
    <w:p w14:paraId="205E7C5C" w14:textId="77777777" w:rsidR="00320DEA" w:rsidRDefault="00320DEA" w:rsidP="00133D22">
      <w:pPr>
        <w:pStyle w:val="Normal1"/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3D59D20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4F9CE50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E6C85F0" w14:textId="77777777" w:rsidR="00320DEA" w:rsidRDefault="00320DEA" w:rsidP="00320DE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5B2ED7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920C21A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930AF63" w14:textId="77777777" w:rsidR="00320DEA" w:rsidRDefault="00320DEA" w:rsidP="007C383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BC558C2" w14:textId="77777777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1CEAE49E" w14:textId="409FC026" w:rsidR="00320DEA" w:rsidRDefault="00320DEA" w:rsidP="00320DE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5252CE">
        <w:rPr>
          <w:rFonts w:ascii="Times New Roman" w:hAnsi="Times New Roman"/>
          <w:i/>
          <w:sz w:val="28"/>
          <w:szCs w:val="28"/>
          <w:lang w:eastAsia="en-US" w:bidi="ar-SA"/>
        </w:rPr>
        <w:t>11</w:t>
      </w:r>
      <w:r w:rsidR="00A875C2">
        <w:rPr>
          <w:rFonts w:ascii="Times New Roman" w:hAnsi="Times New Roman"/>
          <w:i/>
          <w:sz w:val="28"/>
          <w:szCs w:val="28"/>
          <w:lang w:eastAsia="en-US" w:bidi="ar-SA"/>
        </w:rPr>
        <w:t xml:space="preserve"> novembre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 2020</w:t>
      </w:r>
    </w:p>
    <w:p w14:paraId="7A514894" w14:textId="4A2F602D" w:rsidR="00320DEA" w:rsidRDefault="00320DEA" w:rsidP="00320DEA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9</w:t>
      </w:r>
      <w:r w:rsidR="007C383F"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-1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322B34">
        <w:rPr>
          <w:rFonts w:ascii="Times New Roman" w:hAnsi="Times New Roman"/>
          <w:i/>
          <w:sz w:val="28"/>
          <w:szCs w:val="28"/>
          <w:lang w:eastAsia="en-US" w:bidi="ar-SA"/>
        </w:rPr>
        <w:t>30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)</w:t>
      </w:r>
    </w:p>
    <w:p w14:paraId="1B5A4509" w14:textId="0184B400" w:rsidR="00320DEA" w:rsidRDefault="00320DEA" w:rsidP="00320DEA">
      <w:pPr>
        <w:pStyle w:val="Normal1"/>
        <w:suppressAutoHyphens w:val="0"/>
        <w:spacing w:after="200" w:line="276" w:lineRule="auto"/>
        <w:jc w:val="both"/>
      </w:pPr>
    </w:p>
    <w:p w14:paraId="5AFA15AD" w14:textId="471E7819" w:rsidR="00133D22" w:rsidRDefault="00133D22" w:rsidP="00320DEA">
      <w:pPr>
        <w:pStyle w:val="Normal1"/>
        <w:suppressAutoHyphens w:val="0"/>
        <w:spacing w:after="200" w:line="276" w:lineRule="auto"/>
        <w:jc w:val="both"/>
      </w:pPr>
    </w:p>
    <w:p w14:paraId="76F22BBF" w14:textId="43854854" w:rsidR="00133D22" w:rsidRDefault="00133D22" w:rsidP="00320DEA">
      <w:pPr>
        <w:pStyle w:val="Normal1"/>
        <w:suppressAutoHyphens w:val="0"/>
        <w:spacing w:after="200" w:line="276" w:lineRule="auto"/>
        <w:jc w:val="both"/>
      </w:pPr>
    </w:p>
    <w:p w14:paraId="6B34A7CA" w14:textId="5E15D216" w:rsidR="00133D22" w:rsidRDefault="00133D22" w:rsidP="00320DEA">
      <w:pPr>
        <w:pStyle w:val="Normal1"/>
        <w:suppressAutoHyphens w:val="0"/>
        <w:spacing w:after="200" w:line="276" w:lineRule="auto"/>
        <w:jc w:val="both"/>
      </w:pPr>
    </w:p>
    <w:p w14:paraId="062990CE" w14:textId="03A4D727" w:rsidR="00133D22" w:rsidRDefault="00133D22" w:rsidP="00320DEA">
      <w:pPr>
        <w:pStyle w:val="Normal1"/>
        <w:suppressAutoHyphens w:val="0"/>
        <w:spacing w:after="200" w:line="276" w:lineRule="auto"/>
        <w:jc w:val="both"/>
      </w:pPr>
    </w:p>
    <w:p w14:paraId="65DE9C00" w14:textId="77777777" w:rsidR="00133D22" w:rsidRDefault="00133D22" w:rsidP="00320DEA">
      <w:pPr>
        <w:pStyle w:val="Normal1"/>
        <w:suppressAutoHyphens w:val="0"/>
        <w:spacing w:after="200" w:line="276" w:lineRule="auto"/>
        <w:jc w:val="both"/>
      </w:pPr>
    </w:p>
    <w:p w14:paraId="3E6FCBBC" w14:textId="77777777" w:rsidR="007C383F" w:rsidRDefault="007C383F" w:rsidP="00320DEA">
      <w:pPr>
        <w:pStyle w:val="Normal1"/>
        <w:suppressAutoHyphens w:val="0"/>
        <w:spacing w:after="200" w:line="276" w:lineRule="auto"/>
        <w:jc w:val="both"/>
      </w:pPr>
    </w:p>
    <w:p w14:paraId="30918452" w14:textId="77777777" w:rsidR="00F55161" w:rsidRDefault="00F55161" w:rsidP="00320DEA">
      <w:pPr>
        <w:jc w:val="both"/>
        <w:rPr>
          <w:b/>
          <w:sz w:val="28"/>
        </w:rPr>
      </w:pPr>
    </w:p>
    <w:p w14:paraId="71173A11" w14:textId="30470B84" w:rsidR="00320DEA" w:rsidRPr="00C27D16" w:rsidRDefault="00320DEA" w:rsidP="00320DEA">
      <w:pPr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Hlk55923704"/>
      <w:r w:rsidRPr="00C27D16">
        <w:rPr>
          <w:rFonts w:ascii="Times New Roman" w:hAnsi="Times New Roman" w:cs="Times New Roman"/>
          <w:b/>
          <w:sz w:val="32"/>
          <w:szCs w:val="28"/>
        </w:rPr>
        <w:t>M</w:t>
      </w:r>
      <w:r w:rsidR="009D3B0E" w:rsidRPr="00C27D16">
        <w:rPr>
          <w:rFonts w:ascii="Times New Roman" w:hAnsi="Times New Roman" w:cs="Times New Roman"/>
          <w:b/>
          <w:sz w:val="32"/>
          <w:szCs w:val="28"/>
        </w:rPr>
        <w:t>adame la présidente</w:t>
      </w:r>
      <w:r w:rsidRPr="00C27D16">
        <w:rPr>
          <w:rFonts w:ascii="Times New Roman" w:hAnsi="Times New Roman" w:cs="Times New Roman"/>
          <w:b/>
          <w:sz w:val="32"/>
          <w:szCs w:val="28"/>
        </w:rPr>
        <w:t>,</w:t>
      </w:r>
    </w:p>
    <w:p w14:paraId="231B892D" w14:textId="77777777" w:rsidR="00320DEA" w:rsidRPr="00C27D16" w:rsidRDefault="00320DEA" w:rsidP="00320DEA">
      <w:pPr>
        <w:jc w:val="both"/>
        <w:rPr>
          <w:rFonts w:ascii="Times New Roman" w:hAnsi="Times New Roman" w:cs="Times New Roman"/>
          <w:sz w:val="20"/>
          <w:szCs w:val="28"/>
        </w:rPr>
      </w:pPr>
    </w:p>
    <w:p w14:paraId="726A4582" w14:textId="7110E5A6" w:rsidR="00320DEA" w:rsidRPr="00C27D16" w:rsidRDefault="00320DEA" w:rsidP="00320DEA">
      <w:pPr>
        <w:jc w:val="both"/>
        <w:rPr>
          <w:rFonts w:ascii="Times New Roman" w:hAnsi="Times New Roman" w:cs="Times New Roman"/>
          <w:sz w:val="32"/>
          <w:szCs w:val="28"/>
        </w:rPr>
      </w:pPr>
      <w:r w:rsidRPr="00C27D16">
        <w:rPr>
          <w:rFonts w:ascii="Times New Roman" w:hAnsi="Times New Roman" w:cs="Times New Roman"/>
          <w:sz w:val="32"/>
          <w:szCs w:val="28"/>
        </w:rPr>
        <w:t xml:space="preserve">La délégation togolaise </w:t>
      </w:r>
      <w:r w:rsidR="00345784" w:rsidRPr="00C27D16">
        <w:rPr>
          <w:rFonts w:ascii="Times New Roman" w:hAnsi="Times New Roman" w:cs="Times New Roman"/>
          <w:sz w:val="32"/>
          <w:szCs w:val="28"/>
        </w:rPr>
        <w:t xml:space="preserve">souhaite la cordiale bienvenue à la </w:t>
      </w:r>
      <w:r w:rsidR="005252CE" w:rsidRPr="00C27D16">
        <w:rPr>
          <w:rFonts w:ascii="Times New Roman" w:hAnsi="Times New Roman" w:cs="Times New Roman"/>
          <w:sz w:val="32"/>
          <w:szCs w:val="28"/>
        </w:rPr>
        <w:t>d</w:t>
      </w:r>
      <w:r w:rsidR="00345784" w:rsidRPr="00C27D16">
        <w:rPr>
          <w:rFonts w:ascii="Times New Roman" w:hAnsi="Times New Roman" w:cs="Times New Roman"/>
          <w:sz w:val="32"/>
          <w:szCs w:val="28"/>
        </w:rPr>
        <w:t xml:space="preserve">élégation </w:t>
      </w:r>
      <w:r w:rsidR="005252CE" w:rsidRPr="00C27D16">
        <w:rPr>
          <w:rFonts w:ascii="Times New Roman" w:hAnsi="Times New Roman" w:cs="Times New Roman"/>
          <w:sz w:val="32"/>
          <w:szCs w:val="28"/>
        </w:rPr>
        <w:t>libyenne à cet Examen Périodique Universel (EPU).</w:t>
      </w:r>
    </w:p>
    <w:p w14:paraId="3E62A924" w14:textId="69FFA051" w:rsidR="005252CE" w:rsidRPr="00C27D16" w:rsidRDefault="005252CE" w:rsidP="00320DEA">
      <w:pPr>
        <w:jc w:val="both"/>
        <w:rPr>
          <w:rFonts w:ascii="Times New Roman" w:hAnsi="Times New Roman" w:cs="Times New Roman"/>
          <w:sz w:val="20"/>
          <w:szCs w:val="16"/>
        </w:rPr>
      </w:pPr>
    </w:p>
    <w:p w14:paraId="71F974F9" w14:textId="79B97E14" w:rsidR="00320DEA" w:rsidRPr="00C27D16" w:rsidRDefault="005252CE" w:rsidP="00133D22">
      <w:pPr>
        <w:pStyle w:val="Normal1"/>
        <w:suppressAutoHyphens w:val="0"/>
        <w:spacing w:after="200" w:line="276" w:lineRule="auto"/>
        <w:jc w:val="both"/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</w:pPr>
      <w:r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Le Togo salue les progrès récents sur </w:t>
      </w:r>
      <w:r w:rsidR="00E95636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>l</w:t>
      </w:r>
      <w:r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a voie de la paix et de la stabilité </w:t>
      </w:r>
      <w:r w:rsidR="002D076E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en Libye </w:t>
      </w:r>
      <w:r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qui </w:t>
      </w:r>
      <w:r w:rsidR="00E95636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>s’illustrent</w:t>
      </w:r>
      <w:r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 notamment par la signature</w:t>
      </w:r>
      <w:r w:rsidR="00133D22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>,</w:t>
      </w:r>
      <w:r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 le 23 octobre</w:t>
      </w:r>
      <w:r w:rsidR="00E95636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 2020</w:t>
      </w:r>
      <w:r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 à Genève, sous l’égide des Nations Unies, d’un accord de cessez-le-feu entre les belligérants.</w:t>
      </w:r>
      <w:r w:rsidR="00E95636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 </w:t>
      </w:r>
      <w:r w:rsidR="00F12712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Il est crucial pour toutes les parties prenantes </w:t>
      </w:r>
      <w:r w:rsidR="00D20C49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>de continuer d’œuvrer</w:t>
      </w:r>
      <w:r w:rsidR="00F12712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 au respect de cet accord, qui demeure </w:t>
      </w:r>
      <w:r w:rsidR="00223B10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>un</w:t>
      </w:r>
      <w:r w:rsidR="00F12712" w:rsidRPr="00C27D16">
        <w:rPr>
          <w:rFonts w:ascii="Times New Roman" w:hAnsi="Times New Roman" w:cs="Times New Roman"/>
          <w:color w:val="auto"/>
          <w:sz w:val="32"/>
          <w:szCs w:val="32"/>
          <w:lang w:eastAsia="en-US" w:bidi="ar-SA"/>
        </w:rPr>
        <w:t xml:space="preserve"> facteur déterminant pour </w:t>
      </w:r>
      <w:r w:rsidR="00F12712" w:rsidRPr="00C27D16">
        <w:rPr>
          <w:rFonts w:ascii="Times New Roman" w:hAnsi="Times New Roman" w:cs="Times New Roman"/>
          <w:color w:val="auto"/>
          <w:sz w:val="32"/>
          <w:szCs w:val="32"/>
        </w:rPr>
        <w:t>l’amélioration de</w:t>
      </w:r>
      <w:r w:rsidR="00E95636" w:rsidRPr="00C27D16">
        <w:rPr>
          <w:rFonts w:ascii="Times New Roman" w:hAnsi="Times New Roman" w:cs="Times New Roman"/>
          <w:color w:val="auto"/>
          <w:sz w:val="32"/>
          <w:szCs w:val="32"/>
        </w:rPr>
        <w:t xml:space="preserve"> la situation humanitaire ainsi que des droits de l'homme </w:t>
      </w:r>
      <w:r w:rsidR="00F12712" w:rsidRPr="00C27D16">
        <w:rPr>
          <w:rFonts w:ascii="Times New Roman" w:hAnsi="Times New Roman" w:cs="Times New Roman"/>
          <w:color w:val="auto"/>
          <w:sz w:val="32"/>
          <w:szCs w:val="32"/>
        </w:rPr>
        <w:t>en Libye</w:t>
      </w:r>
      <w:r w:rsidR="00E95636" w:rsidRPr="00C27D16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14:paraId="10CDF012" w14:textId="6B7C2506" w:rsidR="00320DEA" w:rsidRPr="00C27D16" w:rsidRDefault="00133D22" w:rsidP="00320DEA">
      <w:pPr>
        <w:jc w:val="both"/>
        <w:rPr>
          <w:rFonts w:ascii="Times New Roman" w:hAnsi="Times New Roman" w:cs="Times New Roman"/>
          <w:sz w:val="32"/>
          <w:szCs w:val="32"/>
        </w:rPr>
      </w:pPr>
      <w:r w:rsidRPr="00C27D16">
        <w:rPr>
          <w:rFonts w:ascii="Times New Roman" w:hAnsi="Times New Roman" w:cs="Times New Roman"/>
          <w:sz w:val="32"/>
          <w:szCs w:val="32"/>
        </w:rPr>
        <w:t>Dans le cadre du présent Examen</w:t>
      </w:r>
      <w:r w:rsidR="008F3F12" w:rsidRPr="00C27D16">
        <w:rPr>
          <w:rFonts w:ascii="Times New Roman" w:hAnsi="Times New Roman" w:cs="Times New Roman"/>
          <w:sz w:val="32"/>
          <w:szCs w:val="32"/>
        </w:rPr>
        <w:t>, l</w:t>
      </w:r>
      <w:r w:rsidR="00320DEA" w:rsidRPr="00C27D16">
        <w:rPr>
          <w:rFonts w:ascii="Times New Roman" w:hAnsi="Times New Roman" w:cs="Times New Roman"/>
          <w:sz w:val="32"/>
          <w:szCs w:val="32"/>
        </w:rPr>
        <w:t xml:space="preserve">e Togo souhaite formuler les recommandations </w:t>
      </w:r>
      <w:r w:rsidRPr="00C27D16">
        <w:rPr>
          <w:rFonts w:ascii="Times New Roman" w:hAnsi="Times New Roman" w:cs="Times New Roman"/>
          <w:sz w:val="32"/>
          <w:szCs w:val="32"/>
        </w:rPr>
        <w:t>suivantes</w:t>
      </w:r>
      <w:r w:rsidR="002D076E" w:rsidRPr="00C27D16">
        <w:rPr>
          <w:rFonts w:ascii="Times New Roman" w:hAnsi="Times New Roman" w:cs="Times New Roman"/>
          <w:sz w:val="32"/>
          <w:szCs w:val="32"/>
        </w:rPr>
        <w:t xml:space="preserve"> à la Libye</w:t>
      </w:r>
      <w:r w:rsidRPr="00C27D16">
        <w:rPr>
          <w:rFonts w:ascii="Times New Roman" w:hAnsi="Times New Roman" w:cs="Times New Roman"/>
          <w:sz w:val="32"/>
          <w:szCs w:val="32"/>
        </w:rPr>
        <w:t xml:space="preserve"> :</w:t>
      </w:r>
    </w:p>
    <w:p w14:paraId="477F8BD3" w14:textId="77777777" w:rsidR="00320DEA" w:rsidRPr="00C27D16" w:rsidRDefault="00320DEA" w:rsidP="00320DEA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1961C14D" w14:textId="77777777" w:rsidR="00D20C49" w:rsidRPr="00C27D16" w:rsidRDefault="00D20C49" w:rsidP="00D20C49">
      <w:pPr>
        <w:pStyle w:val="Default"/>
        <w:rPr>
          <w:color w:val="auto"/>
          <w:sz w:val="22"/>
          <w:szCs w:val="22"/>
        </w:rPr>
      </w:pPr>
    </w:p>
    <w:p w14:paraId="2A86D703" w14:textId="2371947E" w:rsidR="00D20C49" w:rsidRPr="00C27D16" w:rsidRDefault="000F0227" w:rsidP="00133D2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7D16">
        <w:rPr>
          <w:rFonts w:ascii="Times New Roman" w:hAnsi="Times New Roman" w:cs="Times New Roman"/>
          <w:sz w:val="32"/>
          <w:szCs w:val="32"/>
        </w:rPr>
        <w:t>Adopter</w:t>
      </w:r>
      <w:r w:rsidR="00D20C49" w:rsidRPr="00C27D16">
        <w:rPr>
          <w:rFonts w:ascii="Times New Roman" w:hAnsi="Times New Roman" w:cs="Times New Roman"/>
          <w:sz w:val="32"/>
          <w:szCs w:val="32"/>
        </w:rPr>
        <w:t xml:space="preserve"> des mesures</w:t>
      </w:r>
      <w:r w:rsidRPr="00C27D16">
        <w:rPr>
          <w:rFonts w:ascii="Times New Roman" w:hAnsi="Times New Roman" w:cs="Times New Roman"/>
          <w:sz w:val="32"/>
          <w:szCs w:val="32"/>
        </w:rPr>
        <w:t xml:space="preserve"> pour prévenir et combattre les violences et les discriminations</w:t>
      </w:r>
      <w:r w:rsidR="00D20C49" w:rsidRPr="00C27D16">
        <w:rPr>
          <w:rFonts w:ascii="Times New Roman" w:hAnsi="Times New Roman" w:cs="Times New Roman"/>
          <w:sz w:val="32"/>
          <w:szCs w:val="32"/>
        </w:rPr>
        <w:t xml:space="preserve"> à l’égard des travailleurs migrants et des membres de leur famille, en particulier ceux d’Afrique subsaharienne</w:t>
      </w:r>
      <w:r w:rsidR="00AD0F0A" w:rsidRPr="00C27D16">
        <w:rPr>
          <w:rFonts w:ascii="Times New Roman" w:hAnsi="Times New Roman" w:cs="Times New Roman"/>
          <w:sz w:val="32"/>
          <w:szCs w:val="32"/>
        </w:rPr>
        <w:t>,</w:t>
      </w:r>
    </w:p>
    <w:p w14:paraId="21138F99" w14:textId="0678B302" w:rsidR="000F0227" w:rsidRPr="00C27D16" w:rsidRDefault="000F0227" w:rsidP="000F0227">
      <w:pPr>
        <w:pStyle w:val="Paragraphedeliste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14:paraId="32F07D9A" w14:textId="6A1D4FA1" w:rsidR="000F0227" w:rsidRPr="00C27D16" w:rsidRDefault="000F0227" w:rsidP="00133D2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7D16">
        <w:rPr>
          <w:rFonts w:ascii="Times New Roman" w:hAnsi="Times New Roman" w:cs="Times New Roman"/>
          <w:sz w:val="32"/>
          <w:szCs w:val="32"/>
        </w:rPr>
        <w:t>Engager des mesures énergiques contre les passeurs, les trafiquants, les marchands d’esclaves, et toutes les personnes ou groupes qui exploit</w:t>
      </w:r>
      <w:r w:rsidR="00133D22" w:rsidRPr="00C27D16">
        <w:rPr>
          <w:rFonts w:ascii="Times New Roman" w:hAnsi="Times New Roman" w:cs="Times New Roman"/>
          <w:sz w:val="32"/>
          <w:szCs w:val="32"/>
        </w:rPr>
        <w:t>ent</w:t>
      </w:r>
      <w:r w:rsidRPr="00C27D16">
        <w:rPr>
          <w:rFonts w:ascii="Times New Roman" w:hAnsi="Times New Roman" w:cs="Times New Roman"/>
          <w:sz w:val="32"/>
          <w:szCs w:val="32"/>
        </w:rPr>
        <w:t xml:space="preserve"> les travailleurs migrants ou soumettent ceux-ci au travail forcé, y compris à la prostitution et à l’exploitation sexuelle, </w:t>
      </w:r>
    </w:p>
    <w:p w14:paraId="365FBA12" w14:textId="77777777" w:rsidR="000F0227" w:rsidRPr="00C27D16" w:rsidRDefault="000F0227" w:rsidP="000F0227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14:paraId="2B87DE38" w14:textId="2B588881" w:rsidR="00237AF3" w:rsidRPr="00C27D16" w:rsidRDefault="000F0227" w:rsidP="00133D22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27D16">
        <w:rPr>
          <w:rFonts w:ascii="Times New Roman" w:hAnsi="Times New Roman" w:cs="Times New Roman"/>
          <w:sz w:val="32"/>
          <w:szCs w:val="32"/>
        </w:rPr>
        <w:t xml:space="preserve">Ratifier </w:t>
      </w:r>
      <w:r w:rsidR="00D20C49" w:rsidRPr="00C27D16">
        <w:rPr>
          <w:rFonts w:ascii="Times New Roman" w:hAnsi="Times New Roman" w:cs="Times New Roman"/>
          <w:sz w:val="32"/>
          <w:szCs w:val="32"/>
        </w:rPr>
        <w:t>le Protocole facultatif se rapportant à la Convention contre la torture et autres peines ou traitements cruels, inhumains ou dégradants</w:t>
      </w:r>
      <w:r w:rsidRPr="00C27D16">
        <w:rPr>
          <w:rFonts w:ascii="Times New Roman" w:hAnsi="Times New Roman" w:cs="Times New Roman"/>
          <w:sz w:val="32"/>
          <w:szCs w:val="32"/>
        </w:rPr>
        <w:t>.</w:t>
      </w:r>
    </w:p>
    <w:p w14:paraId="476A14E7" w14:textId="77777777" w:rsidR="00F159F2" w:rsidRPr="00C27D16" w:rsidRDefault="00F159F2" w:rsidP="000F0227">
      <w:pPr>
        <w:rPr>
          <w:rFonts w:ascii="Times New Roman" w:hAnsi="Times New Roman" w:cs="Times New Roman"/>
          <w:sz w:val="20"/>
          <w:szCs w:val="20"/>
        </w:rPr>
      </w:pPr>
    </w:p>
    <w:p w14:paraId="2D72BC18" w14:textId="751E1E39" w:rsidR="00320DEA" w:rsidRPr="00C27D16" w:rsidRDefault="00320DEA" w:rsidP="00F159F2">
      <w:pPr>
        <w:jc w:val="both"/>
        <w:rPr>
          <w:rFonts w:ascii="Times New Roman" w:hAnsi="Times New Roman" w:cs="Times New Roman"/>
          <w:sz w:val="32"/>
          <w:szCs w:val="32"/>
        </w:rPr>
      </w:pPr>
      <w:r w:rsidRPr="00C27D16">
        <w:rPr>
          <w:rFonts w:ascii="Times New Roman" w:hAnsi="Times New Roman" w:cs="Times New Roman"/>
          <w:sz w:val="32"/>
          <w:szCs w:val="28"/>
        </w:rPr>
        <w:t xml:space="preserve">La délégation togolaise souhaite plein succès </w:t>
      </w:r>
      <w:r w:rsidR="00133D22" w:rsidRPr="00C27D16">
        <w:rPr>
          <w:rFonts w:ascii="Times New Roman" w:hAnsi="Times New Roman" w:cs="Times New Roman"/>
          <w:sz w:val="32"/>
          <w:szCs w:val="28"/>
        </w:rPr>
        <w:t>à la Libye dans</w:t>
      </w:r>
      <w:r w:rsidRPr="00C27D16">
        <w:rPr>
          <w:rFonts w:ascii="Times New Roman" w:hAnsi="Times New Roman" w:cs="Times New Roman"/>
          <w:sz w:val="32"/>
          <w:szCs w:val="28"/>
        </w:rPr>
        <w:t xml:space="preserve"> la mise en œuvre des recommandations issues du présent </w:t>
      </w:r>
      <w:r w:rsidR="00C82FD5" w:rsidRPr="00C27D16">
        <w:rPr>
          <w:rFonts w:ascii="Times New Roman" w:hAnsi="Times New Roman" w:cs="Times New Roman"/>
          <w:sz w:val="32"/>
          <w:szCs w:val="28"/>
        </w:rPr>
        <w:t>Examen</w:t>
      </w:r>
      <w:r w:rsidRPr="00C27D16">
        <w:rPr>
          <w:rFonts w:ascii="Times New Roman" w:hAnsi="Times New Roman" w:cs="Times New Roman"/>
          <w:sz w:val="32"/>
          <w:szCs w:val="28"/>
        </w:rPr>
        <w:t>.</w:t>
      </w:r>
    </w:p>
    <w:p w14:paraId="25A6B904" w14:textId="77777777" w:rsidR="00320DEA" w:rsidRPr="00C27D16" w:rsidRDefault="00320DEA" w:rsidP="00320DEA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08148F32" w14:textId="77777777" w:rsidR="00320DEA" w:rsidRPr="00C27D16" w:rsidRDefault="00320DEA" w:rsidP="00320DEA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C27D16">
        <w:rPr>
          <w:rFonts w:ascii="Times New Roman" w:hAnsi="Times New Roman" w:cs="Times New Roman"/>
          <w:b/>
          <w:sz w:val="32"/>
          <w:szCs w:val="28"/>
        </w:rPr>
        <w:t xml:space="preserve">Je vous remercie </w:t>
      </w:r>
    </w:p>
    <w:p w14:paraId="3427147A" w14:textId="77777777" w:rsidR="00B41873" w:rsidRPr="00C27D16" w:rsidRDefault="00B41873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3AC1E418" w14:textId="48CDD509" w:rsidR="00431AB6" w:rsidRPr="00C27D16" w:rsidRDefault="00431AB6">
      <w:pPr>
        <w:rPr>
          <w:rFonts w:ascii="Times New Roman" w:hAnsi="Times New Roman" w:cs="Times New Roman"/>
          <w:b/>
          <w:sz w:val="28"/>
          <w:szCs w:val="28"/>
        </w:rPr>
      </w:pPr>
    </w:p>
    <w:sectPr w:rsidR="00431AB6" w:rsidRPr="00C27D16" w:rsidSect="00F127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D8D"/>
    <w:multiLevelType w:val="hybridMultilevel"/>
    <w:tmpl w:val="F72616F0"/>
    <w:lvl w:ilvl="0" w:tplc="2B90C116">
      <w:start w:val="3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95C89A9E"/>
    <w:lvl w:ilvl="0" w:tplc="76645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B1708"/>
    <w:multiLevelType w:val="hybridMultilevel"/>
    <w:tmpl w:val="40CAEC1A"/>
    <w:lvl w:ilvl="0" w:tplc="E5EAFBA2">
      <w:start w:val="2"/>
      <w:numFmt w:val="bullet"/>
      <w:lvlText w:val="-"/>
      <w:lvlJc w:val="left"/>
      <w:pPr>
        <w:ind w:left="1440" w:hanging="360"/>
      </w:pPr>
      <w:rPr>
        <w:rFonts w:ascii="Liberation Serif" w:eastAsia="Noto Sans CJK SC Regular" w:hAnsi="Liberation Serif" w:cs="Mang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DD"/>
    <w:rsid w:val="000F0227"/>
    <w:rsid w:val="00133D22"/>
    <w:rsid w:val="001C7237"/>
    <w:rsid w:val="00223B10"/>
    <w:rsid w:val="00237AF3"/>
    <w:rsid w:val="002B27A2"/>
    <w:rsid w:val="002D076E"/>
    <w:rsid w:val="002D72F2"/>
    <w:rsid w:val="002E5461"/>
    <w:rsid w:val="00320DEA"/>
    <w:rsid w:val="00322B34"/>
    <w:rsid w:val="00345784"/>
    <w:rsid w:val="00431AB6"/>
    <w:rsid w:val="00477F57"/>
    <w:rsid w:val="00484CDD"/>
    <w:rsid w:val="005252CE"/>
    <w:rsid w:val="0061288A"/>
    <w:rsid w:val="006C4D6F"/>
    <w:rsid w:val="00721CE7"/>
    <w:rsid w:val="007C1AD6"/>
    <w:rsid w:val="007C383F"/>
    <w:rsid w:val="00824832"/>
    <w:rsid w:val="008250F8"/>
    <w:rsid w:val="008F3F12"/>
    <w:rsid w:val="009A331B"/>
    <w:rsid w:val="009D3B0E"/>
    <w:rsid w:val="009E67F5"/>
    <w:rsid w:val="00A875C2"/>
    <w:rsid w:val="00A87DC4"/>
    <w:rsid w:val="00AD0F0A"/>
    <w:rsid w:val="00B41873"/>
    <w:rsid w:val="00BF7546"/>
    <w:rsid w:val="00C27D16"/>
    <w:rsid w:val="00C82FD5"/>
    <w:rsid w:val="00D053A1"/>
    <w:rsid w:val="00D20C49"/>
    <w:rsid w:val="00E95636"/>
    <w:rsid w:val="00F12712"/>
    <w:rsid w:val="00F159F2"/>
    <w:rsid w:val="00F55161"/>
    <w:rsid w:val="00F576AB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3F3D3"/>
  <w15:chartTrackingRefBased/>
  <w15:docId w15:val="{7B74638E-80D1-4EAE-BC69-5DCA9CEB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DEA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DEA"/>
    <w:pPr>
      <w:ind w:left="720"/>
      <w:contextualSpacing/>
    </w:pPr>
    <w:rPr>
      <w:rFonts w:cs="Mangal"/>
      <w:szCs w:val="21"/>
    </w:rPr>
  </w:style>
  <w:style w:type="paragraph" w:customStyle="1" w:styleId="Normal1">
    <w:name w:val="Normal1"/>
    <w:rsid w:val="00320DEA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En-tte">
    <w:name w:val="header"/>
    <w:basedOn w:val="Normal1"/>
    <w:link w:val="En-tteCar"/>
    <w:semiHidden/>
    <w:unhideWhenUsed/>
    <w:rsid w:val="00320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20DEA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D20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7BCEA-FB3D-4BB6-A31F-4CBF99EFAA2B}"/>
</file>

<file path=customXml/itemProps2.xml><?xml version="1.0" encoding="utf-8"?>
<ds:datastoreItem xmlns:ds="http://schemas.openxmlformats.org/officeDocument/2006/customXml" ds:itemID="{ABC97872-B221-4D9C-B878-DEC982E08108}"/>
</file>

<file path=customXml/itemProps3.xml><?xml version="1.0" encoding="utf-8"?>
<ds:datastoreItem xmlns:ds="http://schemas.openxmlformats.org/officeDocument/2006/customXml" ds:itemID="{F8D10FE1-BF42-4C3D-8663-1C47E55E1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Sustainable</cp:lastModifiedBy>
  <cp:revision>33</cp:revision>
  <cp:lastPrinted>2020-11-10T16:37:00Z</cp:lastPrinted>
  <dcterms:created xsi:type="dcterms:W3CDTF">2020-11-02T12:05:00Z</dcterms:created>
  <dcterms:modified xsi:type="dcterms:W3CDTF">2020-11-10T17:20:00Z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