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71"/>
        <w:tblW w:w="11340" w:type="dxa"/>
        <w:tblLayout w:type="fixed"/>
        <w:tblLook w:val="04A0"/>
      </w:tblPr>
      <w:tblGrid>
        <w:gridCol w:w="4534"/>
        <w:gridCol w:w="1989"/>
        <w:gridCol w:w="4817"/>
      </w:tblGrid>
      <w:tr w:rsidR="00E50945" w:rsidTr="004D269E">
        <w:trPr>
          <w:cantSplit/>
          <w:trHeight w:val="1432"/>
        </w:trPr>
        <w:tc>
          <w:tcPr>
            <w:tcW w:w="4537" w:type="dxa"/>
            <w:hideMark/>
          </w:tcPr>
          <w:p w:rsidR="00E50945" w:rsidRDefault="00E50945" w:rsidP="004D269E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Mission Permanente </w:t>
            </w:r>
          </w:p>
          <w:p w:rsidR="00E50945" w:rsidRDefault="00E50945" w:rsidP="004D269E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du Royaume du Maroc</w:t>
            </w:r>
          </w:p>
          <w:p w:rsidR="00E50945" w:rsidRDefault="00E50945" w:rsidP="004D269E">
            <w:pPr>
              <w:pStyle w:val="Titre"/>
              <w:tabs>
                <w:tab w:val="right" w:pos="3686"/>
              </w:tabs>
              <w:spacing w:line="276" w:lineRule="auto"/>
              <w:ind w:right="-108"/>
              <w:rPr>
                <w:rFonts w:ascii="Tahoma" w:hAnsi="Tahoma" w:cs="Tahoma"/>
                <w:iCs/>
                <w:sz w:val="24"/>
                <w:szCs w:val="24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Genève</w:t>
            </w:r>
          </w:p>
        </w:tc>
        <w:tc>
          <w:tcPr>
            <w:tcW w:w="1990" w:type="dxa"/>
            <w:hideMark/>
          </w:tcPr>
          <w:p w:rsidR="00E50945" w:rsidRDefault="00E50945" w:rsidP="004D269E">
            <w:pPr>
              <w:pStyle w:val="Titre"/>
              <w:tabs>
                <w:tab w:val="right" w:pos="3686"/>
              </w:tabs>
              <w:spacing w:line="276" w:lineRule="auto"/>
              <w:ind w:left="33" w:hanging="33"/>
              <w:jc w:val="left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b w:val="0"/>
                <w:bCs w:val="0"/>
                <w:i/>
                <w:noProof/>
                <w:color w:val="808000"/>
                <w:sz w:val="24"/>
                <w:szCs w:val="24"/>
                <w:lang w:val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95250</wp:posOffset>
                  </wp:positionV>
                  <wp:extent cx="857250" cy="802640"/>
                  <wp:effectExtent l="19050" t="0" r="0" b="0"/>
                  <wp:wrapSquare wrapText="bothSides"/>
                  <wp:docPr id="3" name="Image 1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hideMark/>
          </w:tcPr>
          <w:p w:rsidR="00E50945" w:rsidRDefault="00E50945" w:rsidP="004D269E">
            <w:pPr>
              <w:pStyle w:val="Titre"/>
              <w:tabs>
                <w:tab w:val="right" w:pos="3686"/>
              </w:tabs>
              <w:spacing w:line="276" w:lineRule="auto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</w:rPr>
            </w:pPr>
            <w:r w:rsidRPr="00CA14DA">
              <w:rPr>
                <w:rFonts w:ascii="Tahoma" w:hAnsi="Tahoma" w:cs="Tahoma"/>
                <w:sz w:val="24"/>
                <w:szCs w:val="24"/>
              </w:rPr>
              <w:object w:dxaOrig="291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46.5pt" o:ole="" fillcolor="window">
                  <v:imagedata r:id="rId11" o:title=""/>
                </v:shape>
                <o:OLEObject Type="Embed" ProgID="Word.Picture.8" ShapeID="_x0000_i1025" DrawAspect="Content" ObjectID="_1665560728" r:id="rId12"/>
              </w:object>
            </w:r>
          </w:p>
          <w:p w:rsidR="00E50945" w:rsidRDefault="00E50945" w:rsidP="004D269E">
            <w:pPr>
              <w:jc w:val="center"/>
              <w:rPr>
                <w:rFonts w:ascii="Tahoma" w:hAnsi="Tahoma" w:cs="Tahoma"/>
              </w:rPr>
            </w:pPr>
            <w:r w:rsidRPr="00CA14DA">
              <w:rPr>
                <w:rFonts w:ascii="Tahoma" w:hAnsi="Tahoma" w:cs="Tahoma"/>
              </w:rPr>
              <w:object w:dxaOrig="940" w:dyaOrig="310">
                <v:shape id="_x0000_i1026" type="#_x0000_t75" style="width:46.5pt;height:15.75pt" o:ole="" fillcolor="window">
                  <v:imagedata r:id="rId13" o:title=""/>
                </v:shape>
                <o:OLEObject Type="Embed" ProgID="Word.Picture.8" ShapeID="_x0000_i1026" DrawAspect="Content" ObjectID="_1665560729" r:id="rId14"/>
              </w:object>
            </w:r>
          </w:p>
        </w:tc>
      </w:tr>
    </w:tbl>
    <w:p w:rsidR="00F91D9A" w:rsidRPr="00764585" w:rsidRDefault="007A3412" w:rsidP="00EF2882">
      <w:pPr>
        <w:pStyle w:val="CorpsA"/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color w:val="auto"/>
          <w:sz w:val="36"/>
          <w:szCs w:val="36"/>
          <w:bdr w:val="none" w:sz="0" w:space="0" w:color="auto"/>
          <w:rtl/>
          <w:lang w:val="fr-CH" w:eastAsia="en-US" w:bidi="ar-MA"/>
        </w:rPr>
      </w:pPr>
      <w:r w:rsidRPr="00764585">
        <w:rPr>
          <w:rFonts w:ascii="Sakkal Majalla" w:eastAsiaTheme="minorHAnsi" w:hAnsi="Sakkal Majalla" w:cs="Sakkal Majalla"/>
          <w:b/>
          <w:bCs/>
          <w:color w:val="auto"/>
          <w:sz w:val="36"/>
          <w:szCs w:val="36"/>
          <w:bdr w:val="none" w:sz="0" w:space="0" w:color="auto"/>
          <w:rtl/>
          <w:lang w:val="fr-CH" w:eastAsia="en-US" w:bidi="ar-MA"/>
        </w:rPr>
        <w:t xml:space="preserve">الدورة </w:t>
      </w:r>
      <w:r w:rsidR="00C40273" w:rsidRPr="00764585">
        <w:rPr>
          <w:rFonts w:ascii="Sakkal Majalla" w:eastAsiaTheme="minorHAnsi" w:hAnsi="Sakkal Majalla" w:cs="Sakkal Majalla"/>
          <w:b/>
          <w:bCs/>
          <w:color w:val="auto"/>
          <w:sz w:val="36"/>
          <w:szCs w:val="36"/>
          <w:bdr w:val="none" w:sz="0" w:space="0" w:color="auto"/>
          <w:rtl/>
          <w:lang w:val="fr-CH" w:eastAsia="en-US" w:bidi="ar-MA"/>
        </w:rPr>
        <w:t>ال</w:t>
      </w:r>
      <w:r w:rsidR="00EF2882" w:rsidRPr="00764585">
        <w:rPr>
          <w:rFonts w:ascii="Sakkal Majalla" w:eastAsiaTheme="minorHAnsi" w:hAnsi="Sakkal Majalla" w:cs="Sakkal Majalla" w:hint="cs"/>
          <w:b/>
          <w:bCs/>
          <w:color w:val="auto"/>
          <w:sz w:val="36"/>
          <w:szCs w:val="36"/>
          <w:bdr w:val="none" w:sz="0" w:space="0" w:color="auto"/>
          <w:rtl/>
          <w:lang w:val="fr-CH" w:eastAsia="en-US" w:bidi="ar-MA"/>
        </w:rPr>
        <w:t xml:space="preserve">سادسة والثلاثين للاستعراض الدوري الشامل </w:t>
      </w:r>
      <w:r w:rsidR="00F91D9A" w:rsidRPr="00764585">
        <w:rPr>
          <w:rFonts w:ascii="Sakkal Majalla" w:eastAsiaTheme="minorHAnsi" w:hAnsi="Sakkal Majalla" w:cs="Sakkal Majalla"/>
          <w:b/>
          <w:bCs/>
          <w:color w:val="auto"/>
          <w:sz w:val="36"/>
          <w:szCs w:val="36"/>
          <w:bdr w:val="none" w:sz="0" w:space="0" w:color="auto"/>
          <w:rtl/>
          <w:lang w:val="fr-CH" w:eastAsia="en-US" w:bidi="ar-MA"/>
        </w:rPr>
        <w:t>لمجلس حقوق الإنسان</w:t>
      </w:r>
    </w:p>
    <w:p w:rsidR="00F11B01" w:rsidRDefault="00CB2C08" w:rsidP="00EF2882">
      <w:pPr>
        <w:bidi/>
        <w:spacing w:line="500" w:lineRule="exact"/>
        <w:jc w:val="center"/>
        <w:rPr>
          <w:rFonts w:ascii="Sakkal Majalla" w:eastAsiaTheme="minorHAnsi" w:hAnsi="Sakkal Majalla" w:cs="Sakkal Majalla"/>
          <w:b/>
          <w:bCs/>
          <w:sz w:val="36"/>
          <w:szCs w:val="36"/>
          <w:bdr w:val="none" w:sz="0" w:space="0" w:color="auto"/>
          <w:lang w:val="fr-CH" w:bidi="ar-MA"/>
        </w:rPr>
      </w:pPr>
      <w:r w:rsidRPr="00764585">
        <w:rPr>
          <w:rFonts w:ascii="Sakkal Majalla" w:eastAsiaTheme="minorHAnsi" w:hAnsi="Sakkal Majalla" w:cs="Sakkal Majalla"/>
          <w:b/>
          <w:bCs/>
          <w:sz w:val="36"/>
          <w:szCs w:val="36"/>
          <w:bdr w:val="none" w:sz="0" w:space="0" w:color="auto"/>
          <w:rtl/>
          <w:lang w:val="fr-CH" w:bidi="ar-MA"/>
        </w:rPr>
        <w:t xml:space="preserve">كلمة وفد </w:t>
      </w:r>
      <w:r w:rsidR="00F91D9A" w:rsidRPr="00764585">
        <w:rPr>
          <w:rFonts w:ascii="Sakkal Majalla" w:eastAsiaTheme="minorHAnsi" w:hAnsi="Sakkal Majalla" w:cs="Sakkal Majalla"/>
          <w:b/>
          <w:bCs/>
          <w:sz w:val="36"/>
          <w:szCs w:val="36"/>
          <w:bdr w:val="none" w:sz="0" w:space="0" w:color="auto"/>
          <w:rtl/>
          <w:lang w:val="fr-CH" w:bidi="ar-MA"/>
        </w:rPr>
        <w:t>المملكة المغربية</w:t>
      </w:r>
    </w:p>
    <w:p w:rsidR="00C965F3" w:rsidRPr="00764585" w:rsidRDefault="00EF2882" w:rsidP="00F11B01">
      <w:pPr>
        <w:bidi/>
        <w:spacing w:line="500" w:lineRule="exact"/>
        <w:jc w:val="center"/>
        <w:rPr>
          <w:rFonts w:ascii="Sakkal Majalla" w:eastAsiaTheme="minorHAnsi" w:hAnsi="Sakkal Majalla" w:cs="Sakkal Majalla"/>
          <w:b/>
          <w:bCs/>
          <w:sz w:val="36"/>
          <w:szCs w:val="36"/>
          <w:bdr w:val="none" w:sz="0" w:space="0" w:color="auto"/>
          <w:rtl/>
          <w:lang w:val="fr-CH" w:bidi="ar-MA"/>
        </w:rPr>
      </w:pPr>
      <w:r w:rsidRPr="00764585">
        <w:rPr>
          <w:rFonts w:ascii="Sakkal Majalla" w:eastAsiaTheme="minorHAnsi" w:hAnsi="Sakkal Majalla" w:cs="Sakkal Majalla" w:hint="cs"/>
          <w:b/>
          <w:bCs/>
          <w:sz w:val="36"/>
          <w:szCs w:val="36"/>
          <w:bdr w:val="none" w:sz="0" w:space="0" w:color="auto"/>
          <w:rtl/>
          <w:lang w:val="fr-CH" w:bidi="ar-MA"/>
        </w:rPr>
        <w:t>استعراض ليبيا</w:t>
      </w:r>
    </w:p>
    <w:p w:rsidR="00F91D9A" w:rsidRPr="00764585" w:rsidRDefault="00CB2C08" w:rsidP="00E50945">
      <w:pPr>
        <w:bidi/>
        <w:spacing w:line="500" w:lineRule="exact"/>
        <w:jc w:val="center"/>
        <w:rPr>
          <w:rFonts w:ascii="Sakkal Majalla" w:eastAsiaTheme="minorHAnsi" w:hAnsi="Sakkal Majalla" w:cs="Sakkal Majalla"/>
          <w:b/>
          <w:bCs/>
          <w:sz w:val="36"/>
          <w:szCs w:val="36"/>
          <w:bdr w:val="none" w:sz="0" w:space="0" w:color="auto"/>
          <w:rtl/>
          <w:lang w:val="fr-CH" w:bidi="ar-MA"/>
        </w:rPr>
      </w:pPr>
      <w:r w:rsidRPr="00764585">
        <w:rPr>
          <w:rFonts w:ascii="Sakkal Majalla" w:eastAsiaTheme="minorHAnsi" w:hAnsi="Sakkal Majalla" w:cs="Sakkal Majalla" w:hint="cs"/>
          <w:b/>
          <w:bCs/>
          <w:sz w:val="36"/>
          <w:szCs w:val="36"/>
          <w:bdr w:val="none" w:sz="0" w:space="0" w:color="auto"/>
          <w:rtl/>
          <w:lang w:val="fr-CH" w:bidi="ar-MA"/>
        </w:rPr>
        <w:t xml:space="preserve">جنيف </w:t>
      </w:r>
      <w:r w:rsidR="00E50945">
        <w:rPr>
          <w:rFonts w:ascii="Sakkal Majalla" w:eastAsiaTheme="minorHAnsi" w:hAnsi="Sakkal Majalla" w:cs="Sakkal Majalla" w:hint="cs"/>
          <w:b/>
          <w:bCs/>
          <w:sz w:val="36"/>
          <w:szCs w:val="36"/>
          <w:bdr w:val="none" w:sz="0" w:space="0" w:color="auto"/>
          <w:rtl/>
          <w:lang w:val="fr-CH" w:bidi="ar-MA"/>
        </w:rPr>
        <w:t>ف</w:t>
      </w:r>
      <w:r w:rsidR="00E50945" w:rsidRPr="00764585">
        <w:rPr>
          <w:rFonts w:ascii="Sakkal Majalla" w:eastAsiaTheme="minorHAnsi" w:hAnsi="Sakkal Majalla" w:cs="Sakkal Majalla"/>
          <w:b/>
          <w:bCs/>
          <w:sz w:val="36"/>
          <w:szCs w:val="36"/>
          <w:bdr w:val="none" w:sz="0" w:space="0" w:color="auto"/>
          <w:rtl/>
          <w:lang w:val="fr-CH" w:bidi="ar-MA"/>
        </w:rPr>
        <w:t>ي</w:t>
      </w:r>
      <w:r w:rsidR="00C40273" w:rsidRPr="00764585">
        <w:rPr>
          <w:rFonts w:ascii="Sakkal Majalla" w:eastAsiaTheme="minorHAnsi" w:hAnsi="Sakkal Majalla" w:cs="Sakkal Majalla" w:hint="cs"/>
          <w:b/>
          <w:bCs/>
          <w:sz w:val="36"/>
          <w:szCs w:val="36"/>
          <w:bdr w:val="none" w:sz="0" w:space="0" w:color="auto"/>
          <w:rtl/>
          <w:lang w:val="fr-CH" w:bidi="ar-MA"/>
        </w:rPr>
        <w:t xml:space="preserve"> </w:t>
      </w:r>
      <w:r w:rsidR="00E50945">
        <w:rPr>
          <w:rFonts w:ascii="Sakkal Majalla" w:eastAsiaTheme="minorHAnsi" w:hAnsi="Sakkal Majalla" w:cs="Sakkal Majalla"/>
          <w:b/>
          <w:bCs/>
          <w:sz w:val="36"/>
          <w:szCs w:val="36"/>
          <w:bdr w:val="none" w:sz="0" w:space="0" w:color="auto"/>
          <w:lang w:val="fr-CH" w:bidi="ar-MA"/>
        </w:rPr>
        <w:t xml:space="preserve"> 11</w:t>
      </w:r>
      <w:r w:rsidR="00EF2882" w:rsidRPr="00764585">
        <w:rPr>
          <w:rFonts w:ascii="Sakkal Majalla" w:eastAsiaTheme="minorHAnsi" w:hAnsi="Sakkal Majalla" w:cs="Sakkal Majalla" w:hint="cs"/>
          <w:b/>
          <w:bCs/>
          <w:sz w:val="36"/>
          <w:szCs w:val="36"/>
          <w:bdr w:val="none" w:sz="0" w:space="0" w:color="auto"/>
          <w:rtl/>
          <w:lang w:val="fr-CH" w:bidi="ar-MA"/>
        </w:rPr>
        <w:t xml:space="preserve">نونبر </w:t>
      </w:r>
      <w:r w:rsidRPr="00764585">
        <w:rPr>
          <w:rFonts w:ascii="Sakkal Majalla" w:eastAsiaTheme="minorHAnsi" w:hAnsi="Sakkal Majalla" w:cs="Sakkal Majalla"/>
          <w:b/>
          <w:bCs/>
          <w:sz w:val="36"/>
          <w:szCs w:val="36"/>
          <w:bdr w:val="none" w:sz="0" w:space="0" w:color="auto"/>
          <w:rtl/>
          <w:lang w:val="fr-CH" w:bidi="ar-MA"/>
        </w:rPr>
        <w:t>2020</w:t>
      </w:r>
    </w:p>
    <w:p w:rsidR="00F91D9A" w:rsidRPr="00764585" w:rsidRDefault="00F91D9A" w:rsidP="00BD5DEC">
      <w:pPr>
        <w:pStyle w:val="CorpsA"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color w:val="auto"/>
          <w:sz w:val="32"/>
          <w:szCs w:val="32"/>
          <w:bdr w:val="none" w:sz="0" w:space="0" w:color="auto"/>
          <w:rtl/>
          <w:lang w:val="fr-CH" w:eastAsia="en-US" w:bidi="ar-MA"/>
        </w:rPr>
      </w:pPr>
      <w:r w:rsidRPr="00764585">
        <w:rPr>
          <w:rFonts w:ascii="Sakkal Majalla" w:eastAsiaTheme="minorHAnsi" w:hAnsi="Sakkal Majalla" w:cs="Sakkal Majalla"/>
          <w:b/>
          <w:bCs/>
          <w:color w:val="auto"/>
          <w:sz w:val="32"/>
          <w:szCs w:val="32"/>
          <w:bdr w:val="none" w:sz="0" w:space="0" w:color="auto"/>
          <w:lang w:val="fr-CH" w:eastAsia="en-US" w:bidi="ar-MA"/>
        </w:rPr>
        <w:t>*********</w:t>
      </w:r>
    </w:p>
    <w:p w:rsidR="00CB2C08" w:rsidRPr="00764585" w:rsidRDefault="00CB2C08" w:rsidP="000F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</w:pP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السيدة الرئيسة،</w:t>
      </w:r>
    </w:p>
    <w:p w:rsidR="000F6C92" w:rsidRPr="00764585" w:rsidRDefault="000F6C92" w:rsidP="000F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</w:pPr>
    </w:p>
    <w:p w:rsidR="000F6C92" w:rsidRPr="00764585" w:rsidRDefault="000F6C92" w:rsidP="0076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lang w:val="fr-CH" w:bidi="ar-MA"/>
        </w:rPr>
      </w:pP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ترحب </w:t>
      </w:r>
      <w:r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المملكة المغربية بوفد ليبيا 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الشقيقة </w:t>
      </w:r>
      <w:r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وتشكره على تقديم تقريره في إطار المراجعة الدورية الشاملة.</w:t>
      </w:r>
    </w:p>
    <w:p w:rsidR="000F6C92" w:rsidRPr="00764585" w:rsidRDefault="000F6C92" w:rsidP="0076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16"/>
          <w:szCs w:val="16"/>
          <w:bdr w:val="none" w:sz="0" w:space="0" w:color="auto"/>
          <w:rtl/>
          <w:lang w:val="fr-CH" w:bidi="ar-MA"/>
        </w:rPr>
      </w:pPr>
    </w:p>
    <w:p w:rsidR="000F6C92" w:rsidRPr="00764585" w:rsidRDefault="000F6C92" w:rsidP="0076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lang w:val="fr-CH" w:bidi="ar-MA"/>
        </w:rPr>
      </w:pPr>
      <w:r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اسمحوا 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في </w:t>
      </w:r>
      <w:r w:rsid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ا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لبداية </w:t>
      </w:r>
      <w:r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أن أهنئ 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الأخوة الليبيين </w:t>
      </w:r>
      <w:r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على 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ال</w:t>
      </w:r>
      <w:r w:rsidR="007332E2"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تقدم وال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خطوات المهمة التي ت</w:t>
      </w:r>
      <w:r w:rsidR="007332E2"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حققت في مسار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 الحوار الليبي الليبي، آملين أن تتعزز هذه الخطوات للتوصل إلى حل سياسي شامل ودائم، مما يساهم </w:t>
      </w:r>
      <w:r w:rsidR="007332E2"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لا محالة 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في توفير الظروف الأنسب لتعزيز  منظومة </w:t>
      </w:r>
      <w:r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احترام حقوق الإنسان</w:t>
      </w:r>
      <w:r w:rsidR="007332E2"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 في البلاد</w:t>
      </w:r>
      <w:r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.</w:t>
      </w:r>
    </w:p>
    <w:p w:rsidR="000F6C92" w:rsidRPr="00764585" w:rsidRDefault="000F6C92" w:rsidP="0076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16"/>
          <w:szCs w:val="16"/>
          <w:bdr w:val="none" w:sz="0" w:space="0" w:color="auto"/>
          <w:rtl/>
          <w:lang w:val="fr-CH" w:bidi="ar-MA"/>
        </w:rPr>
      </w:pPr>
    </w:p>
    <w:p w:rsidR="000F6C92" w:rsidRPr="00764585" w:rsidRDefault="007332E2" w:rsidP="0076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</w:pP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في هذا السياق، تثمن </w:t>
      </w:r>
      <w:r w:rsidR="000F6C92"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المملكة المغربية 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الاجرءات المتخذة من طرف </w:t>
      </w:r>
      <w:r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حكومة ال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وفاق ا</w:t>
      </w:r>
      <w:r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لوطني، بالتعاون مع بعثة الأمم المتحدة للدعم في ليبيا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، المتعلقة بوضع استراتيجية متكاملة بشأن الهجرة، اعتمادا على </w:t>
      </w:r>
      <w:r w:rsidR="000F6C92"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نموذج الاستراتيجية الوطنية للمملكة المغربية ب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هذا ال</w:t>
      </w:r>
      <w:r w:rsidR="000F6C92"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شأن.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 وهي خطوة مهمة لما يطرحه هذا الموضوع الشائك من إكراهات متعددة الأوجه.</w:t>
      </w:r>
    </w:p>
    <w:p w:rsidR="007332E2" w:rsidRPr="00764585" w:rsidRDefault="007332E2" w:rsidP="0076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16"/>
          <w:szCs w:val="16"/>
          <w:bdr w:val="none" w:sz="0" w:space="0" w:color="auto"/>
          <w:rtl/>
          <w:lang w:val="fr-CH" w:bidi="ar-MA"/>
        </w:rPr>
      </w:pPr>
    </w:p>
    <w:p w:rsidR="007332E2" w:rsidRPr="00764585" w:rsidRDefault="007332E2" w:rsidP="0076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lang w:val="fr-CH" w:bidi="ar-MA"/>
        </w:rPr>
      </w:pP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كما ترحب بالخطوات </w:t>
      </w:r>
      <w:r w:rsidR="00701A3C"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المتخدة في مجال تمكين المرأة، </w:t>
      </w:r>
      <w:r w:rsid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و</w:t>
      </w:r>
      <w:r w:rsidR="00701A3C"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تشجيع المساواة بين الجنسين في الحق في الشغل وتحمل المسؤوليات، والمشاركة في الحياة السياسية.</w:t>
      </w:r>
    </w:p>
    <w:p w:rsidR="000F6C92" w:rsidRPr="00764585" w:rsidRDefault="000F6C92" w:rsidP="0076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16"/>
          <w:szCs w:val="16"/>
          <w:bdr w:val="none" w:sz="0" w:space="0" w:color="auto"/>
          <w:rtl/>
          <w:lang w:val="fr-CH" w:bidi="ar-MA"/>
        </w:rPr>
      </w:pPr>
    </w:p>
    <w:p w:rsidR="000F6C92" w:rsidRDefault="00701A3C" w:rsidP="0076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</w:pP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في الأخير، وإذ تأخذ المملكة المغربية علما </w:t>
      </w:r>
      <w:r w:rsidR="000F6C92"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بالصعوبات 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والإكراهات </w:t>
      </w:r>
      <w:r w:rsidR="000F6C92"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التي أثارها التقرير ، 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فإنها تجدد دعوتها ل</w:t>
      </w:r>
      <w:r w:rsidR="000F6C92"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لمجتمع الدولي 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من أجل</w:t>
      </w:r>
      <w:r w:rsidR="000F6C92"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 تقديم الدعم وال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مساعدة لحكومة الوفاق الوطني. كما </w:t>
      </w:r>
      <w:r w:rsidR="000F6C92"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تود المملكة المغربية تقديم التوصيتين التاليتين:</w:t>
      </w:r>
    </w:p>
    <w:p w:rsidR="00764585" w:rsidRPr="00764585" w:rsidRDefault="00764585" w:rsidP="0076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16"/>
          <w:szCs w:val="16"/>
          <w:bdr w:val="none" w:sz="0" w:space="0" w:color="auto"/>
          <w:lang w:val="fr-CH" w:bidi="ar-MA"/>
        </w:rPr>
      </w:pPr>
    </w:p>
    <w:p w:rsidR="000F6C92" w:rsidRPr="00764585" w:rsidRDefault="00764585" w:rsidP="0076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849"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lang w:val="fr-CH" w:bidi="ar-MA"/>
        </w:rPr>
      </w:pPr>
      <w:r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1/ </w:t>
      </w:r>
      <w:r w:rsidR="00701A3C"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مواصلة المساعي ل</w:t>
      </w:r>
      <w:r w:rsidR="000F6C92"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ضمان إعمال الحقوق ا</w:t>
      </w:r>
      <w:r w:rsidR="00701A3C"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لاقتصادية والاجتماعية والثقافية</w:t>
      </w:r>
      <w:r w:rsidR="000F6C92"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، من خلال جعل التدابير التنظيمية متوافقة مع التشريعات الوطنية المتعلقة بالحق في العمل والصحة </w:t>
      </w:r>
      <w:r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والتعليم؛</w:t>
      </w:r>
    </w:p>
    <w:p w:rsidR="00C965F3" w:rsidRDefault="00764585" w:rsidP="0076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849"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</w:pPr>
      <w:r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2/ تكثيف</w:t>
      </w:r>
      <w:r w:rsidR="000F6C92"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 الجهود </w:t>
      </w:r>
      <w:r w:rsidR="00701A3C"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المتعلقة ب</w:t>
      </w:r>
      <w:r w:rsidR="000F6C92" w:rsidRPr="00764585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التصديق على جميع الاتفاقيات والبروتوكولات الواردة في التوصيات التي تم قبولها خلال الاستعراض الدوري الشامل السابق</w:t>
      </w:r>
      <w:r w:rsidR="00701A3C" w:rsidRPr="00764585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.</w:t>
      </w:r>
    </w:p>
    <w:p w:rsidR="00764585" w:rsidRPr="00764585" w:rsidRDefault="00764585" w:rsidP="0076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849" w:right="142"/>
        <w:jc w:val="both"/>
        <w:rPr>
          <w:rFonts w:ascii="Sakkal Majalla" w:eastAsiaTheme="minorHAnsi" w:hAnsi="Sakkal Majalla" w:cs="Sakkal Majalla"/>
          <w:b/>
          <w:bCs/>
          <w:sz w:val="16"/>
          <w:szCs w:val="16"/>
          <w:bdr w:val="none" w:sz="0" w:space="0" w:color="auto"/>
          <w:rtl/>
          <w:lang w:val="fr-CH" w:bidi="ar-MA"/>
        </w:rPr>
      </w:pPr>
    </w:p>
    <w:p w:rsidR="00764585" w:rsidRPr="000F6C92" w:rsidRDefault="00764585" w:rsidP="00F1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3"/>
        <w:rPr>
          <w:rFonts w:ascii="Sakkal Majalla" w:eastAsiaTheme="minorHAnsi" w:hAnsi="Sakkal Majalla" w:cs="Sakkal Majalla"/>
          <w:b/>
          <w:bCs/>
          <w:sz w:val="36"/>
          <w:szCs w:val="36"/>
          <w:bdr w:val="none" w:sz="0" w:space="0" w:color="auto"/>
          <w:rtl/>
          <w:lang w:val="fr-CH" w:bidi="ar-MA"/>
        </w:rPr>
      </w:pPr>
      <w:r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شكرا السيدة الرئيسة.</w:t>
      </w:r>
    </w:p>
    <w:sectPr w:rsidR="00764585" w:rsidRPr="000F6C92" w:rsidSect="00D958A8">
      <w:headerReference w:type="default" r:id="rId15"/>
      <w:footerReference w:type="default" r:id="rId16"/>
      <w:pgSz w:w="11906" w:h="16838"/>
      <w:pgMar w:top="851" w:right="1134" w:bottom="1134" w:left="1134" w:header="709" w:footer="85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DF7" w:rsidRDefault="00794DF7" w:rsidP="00DA7777">
      <w:r>
        <w:separator/>
      </w:r>
    </w:p>
  </w:endnote>
  <w:endnote w:type="continuationSeparator" w:id="1">
    <w:p w:rsidR="00794DF7" w:rsidRDefault="00794DF7" w:rsidP="00DA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77" w:rsidRDefault="00DA77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DF7" w:rsidRDefault="00794DF7" w:rsidP="00DA7777">
      <w:r>
        <w:separator/>
      </w:r>
    </w:p>
  </w:footnote>
  <w:footnote w:type="continuationSeparator" w:id="1">
    <w:p w:rsidR="00794DF7" w:rsidRDefault="00794DF7" w:rsidP="00DA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77" w:rsidRDefault="00DA777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777"/>
    <w:rsid w:val="0008744D"/>
    <w:rsid w:val="00091E25"/>
    <w:rsid w:val="000E59E6"/>
    <w:rsid w:val="000F1BA7"/>
    <w:rsid w:val="000F6C92"/>
    <w:rsid w:val="00147314"/>
    <w:rsid w:val="001643CB"/>
    <w:rsid w:val="00170520"/>
    <w:rsid w:val="001E679E"/>
    <w:rsid w:val="0020717E"/>
    <w:rsid w:val="002174BA"/>
    <w:rsid w:val="00264A3D"/>
    <w:rsid w:val="0035534A"/>
    <w:rsid w:val="0038018A"/>
    <w:rsid w:val="003811E3"/>
    <w:rsid w:val="00395D73"/>
    <w:rsid w:val="003C1922"/>
    <w:rsid w:val="003D32A0"/>
    <w:rsid w:val="0043396E"/>
    <w:rsid w:val="004A7A11"/>
    <w:rsid w:val="004F31B1"/>
    <w:rsid w:val="004F3891"/>
    <w:rsid w:val="00534CBE"/>
    <w:rsid w:val="00537749"/>
    <w:rsid w:val="00582219"/>
    <w:rsid w:val="005A1F89"/>
    <w:rsid w:val="00701A3C"/>
    <w:rsid w:val="00705432"/>
    <w:rsid w:val="007332E2"/>
    <w:rsid w:val="0075310F"/>
    <w:rsid w:val="00764585"/>
    <w:rsid w:val="00770E44"/>
    <w:rsid w:val="00794DF7"/>
    <w:rsid w:val="007A3412"/>
    <w:rsid w:val="00835AF1"/>
    <w:rsid w:val="00841B9B"/>
    <w:rsid w:val="008A5483"/>
    <w:rsid w:val="008B05B4"/>
    <w:rsid w:val="008D29FF"/>
    <w:rsid w:val="009A06D7"/>
    <w:rsid w:val="009B7CD7"/>
    <w:rsid w:val="00A26D82"/>
    <w:rsid w:val="00A46C00"/>
    <w:rsid w:val="00A930EA"/>
    <w:rsid w:val="00B728D3"/>
    <w:rsid w:val="00BA0BD6"/>
    <w:rsid w:val="00BD4AFD"/>
    <w:rsid w:val="00BD5DEC"/>
    <w:rsid w:val="00BE2A23"/>
    <w:rsid w:val="00BE3472"/>
    <w:rsid w:val="00BE78B7"/>
    <w:rsid w:val="00C33D41"/>
    <w:rsid w:val="00C343FD"/>
    <w:rsid w:val="00C37651"/>
    <w:rsid w:val="00C40273"/>
    <w:rsid w:val="00C47C55"/>
    <w:rsid w:val="00C56546"/>
    <w:rsid w:val="00C672C9"/>
    <w:rsid w:val="00C965F3"/>
    <w:rsid w:val="00CB2C08"/>
    <w:rsid w:val="00CC606E"/>
    <w:rsid w:val="00CD2E2E"/>
    <w:rsid w:val="00CF5169"/>
    <w:rsid w:val="00D0326E"/>
    <w:rsid w:val="00D161BD"/>
    <w:rsid w:val="00D931BC"/>
    <w:rsid w:val="00D958A8"/>
    <w:rsid w:val="00DA7777"/>
    <w:rsid w:val="00DB2E1C"/>
    <w:rsid w:val="00DB5B7C"/>
    <w:rsid w:val="00DF0F1B"/>
    <w:rsid w:val="00E1018B"/>
    <w:rsid w:val="00E1031B"/>
    <w:rsid w:val="00E20083"/>
    <w:rsid w:val="00E332DD"/>
    <w:rsid w:val="00E50945"/>
    <w:rsid w:val="00E53C71"/>
    <w:rsid w:val="00E64F93"/>
    <w:rsid w:val="00EC1045"/>
    <w:rsid w:val="00ED45A2"/>
    <w:rsid w:val="00EF2882"/>
    <w:rsid w:val="00F11B01"/>
    <w:rsid w:val="00F249CB"/>
    <w:rsid w:val="00F4489F"/>
    <w:rsid w:val="00F45EC7"/>
    <w:rsid w:val="00F63742"/>
    <w:rsid w:val="00F91D9A"/>
    <w:rsid w:val="00FF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7777"/>
    <w:rPr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A26D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A7777"/>
    <w:rPr>
      <w:u w:val="single"/>
    </w:rPr>
  </w:style>
  <w:style w:type="table" w:customStyle="1" w:styleId="TableNormal">
    <w:name w:val="Table Normal"/>
    <w:rsid w:val="00DA77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DA7777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A26D82"/>
    <w:rPr>
      <w:rFonts w:eastAsia="Times New Roman"/>
      <w:b/>
      <w:bCs/>
      <w:sz w:val="36"/>
      <w:szCs w:val="36"/>
      <w:bdr w:val="none" w:sz="0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4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44D"/>
    <w:rPr>
      <w:rFonts w:ascii="Segoe UI" w:hAnsi="Segoe UI" w:cs="Segoe UI"/>
      <w:sz w:val="18"/>
      <w:szCs w:val="18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F91D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91D9A"/>
    <w:rPr>
      <w:rFonts w:ascii="Courier New" w:eastAsia="Times New Roman" w:hAnsi="Courier New" w:cs="Courier New"/>
      <w:bdr w:val="none" w:sz="0" w:space="0" w:color="auto"/>
    </w:rPr>
  </w:style>
  <w:style w:type="paragraph" w:customStyle="1" w:styleId="CorpsA">
    <w:name w:val="Corps A"/>
    <w:rsid w:val="00F91D9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F249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764585"/>
    <w:pPr>
      <w:ind w:left="720"/>
      <w:contextualSpacing/>
    </w:pPr>
  </w:style>
  <w:style w:type="paragraph" w:styleId="Titre">
    <w:name w:val="Title"/>
    <w:basedOn w:val="Normal"/>
    <w:link w:val="TitreCar"/>
    <w:qFormat/>
    <w:rsid w:val="00E509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rebuchet MS" w:eastAsia="Times New Roman" w:hAnsi="Trebuchet MS"/>
      <w:b/>
      <w:bCs/>
      <w:color w:val="000000"/>
      <w:sz w:val="32"/>
      <w:szCs w:val="20"/>
      <w:bdr w:val="none" w:sz="0" w:space="0" w:color="auto"/>
      <w:lang w:eastAsia="fr-FR"/>
    </w:rPr>
  </w:style>
  <w:style w:type="character" w:customStyle="1" w:styleId="TitreCar">
    <w:name w:val="Titre Car"/>
    <w:basedOn w:val="Policepardfaut"/>
    <w:link w:val="Titre"/>
    <w:rsid w:val="00E50945"/>
    <w:rPr>
      <w:rFonts w:ascii="Trebuchet MS" w:eastAsia="Times New Roman" w:hAnsi="Trebuchet MS"/>
      <w:b/>
      <w:bCs/>
      <w:color w:val="000000"/>
      <w:sz w:val="32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1DFD3-7FFA-43F8-ABAD-98C2775681A5}"/>
</file>

<file path=customXml/itemProps2.xml><?xml version="1.0" encoding="utf-8"?>
<ds:datastoreItem xmlns:ds="http://schemas.openxmlformats.org/officeDocument/2006/customXml" ds:itemID="{09C0C1A0-920A-4F24-8F37-6595C2CABA91}"/>
</file>

<file path=customXml/itemProps3.xml><?xml version="1.0" encoding="utf-8"?>
<ds:datastoreItem xmlns:ds="http://schemas.openxmlformats.org/officeDocument/2006/customXml" ds:itemID="{F06BA089-E59A-4946-8A07-EF3384E98908}"/>
</file>

<file path=customXml/itemProps4.xml><?xml version="1.0" encoding="utf-8"?>
<ds:datastoreItem xmlns:ds="http://schemas.openxmlformats.org/officeDocument/2006/customXml" ds:itemID="{9CA005D4-E850-4013-BE90-08702C0C6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Wiam</dc:creator>
  <cp:lastModifiedBy>Ahouga Said</cp:lastModifiedBy>
  <cp:revision>2</cp:revision>
  <cp:lastPrinted>2020-10-28T12:07:00Z</cp:lastPrinted>
  <dcterms:created xsi:type="dcterms:W3CDTF">2020-10-30T09:59:00Z</dcterms:created>
  <dcterms:modified xsi:type="dcterms:W3CDTF">2020-10-30T09:59:00Z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