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rsidR="00A37B21" w:rsidRDefault="00CC5F51" w:rsidP="002806E3">
      <w:pPr>
        <w:overflowPunct/>
        <w:autoSpaceDE/>
        <w:autoSpaceDN/>
        <w:adjustRightInd/>
        <w:spacing w:line="256" w:lineRule="auto"/>
        <w:ind w:left="567" w:right="991"/>
        <w:jc w:val="center"/>
        <w:rPr>
          <w:rFonts w:ascii="Book Antiqua" w:eastAsiaTheme="minorHAnsi" w:hAnsi="Book Antiqua"/>
          <w:b/>
          <w:noProof w:val="0"/>
          <w:sz w:val="28"/>
          <w:szCs w:val="28"/>
          <w:lang w:val="fr-CH"/>
        </w:rPr>
      </w:pPr>
      <w:r w:rsidRPr="002806E3">
        <w:rPr>
          <w:rFonts w:ascii="Book Antiqua" w:eastAsiaTheme="minorHAnsi" w:hAnsi="Book Antiqua"/>
          <w:b/>
          <w:noProof w:val="0"/>
          <w:sz w:val="28"/>
          <w:szCs w:val="28"/>
          <w:lang w:val="fr-CH"/>
        </w:rPr>
        <w:t>DECLARATION DE LA REPUBLIQUE DU TCHAD</w:t>
      </w:r>
      <w:r w:rsidR="002806E3" w:rsidRPr="002806E3">
        <w:rPr>
          <w:rFonts w:ascii="Book Antiqua" w:eastAsiaTheme="minorHAnsi" w:hAnsi="Book Antiqua"/>
          <w:b/>
          <w:noProof w:val="0"/>
          <w:sz w:val="28"/>
          <w:szCs w:val="28"/>
          <w:lang w:val="fr-CH"/>
        </w:rPr>
        <w:t xml:space="preserve"> </w:t>
      </w:r>
    </w:p>
    <w:p w:rsidR="00B1429A" w:rsidRDefault="00CC5F51" w:rsidP="00A37B21">
      <w:pPr>
        <w:overflowPunct/>
        <w:autoSpaceDE/>
        <w:autoSpaceDN/>
        <w:adjustRightInd/>
        <w:spacing w:line="256" w:lineRule="auto"/>
        <w:ind w:left="567" w:right="991"/>
        <w:jc w:val="center"/>
        <w:rPr>
          <w:rFonts w:ascii="Book Antiqua" w:hAnsi="Book Antiqua"/>
          <w:b/>
          <w:bCs/>
          <w:sz w:val="28"/>
          <w:szCs w:val="28"/>
          <w:lang w:val="fr-CH" w:eastAsia="fr-FR"/>
        </w:rPr>
      </w:pPr>
      <w:r w:rsidRPr="002806E3">
        <w:rPr>
          <w:rFonts w:ascii="Book Antiqua" w:eastAsiaTheme="minorHAnsi" w:hAnsi="Book Antiqua"/>
          <w:b/>
          <w:noProof w:val="0"/>
          <w:sz w:val="28"/>
          <w:szCs w:val="28"/>
          <w:lang w:val="fr-CH"/>
        </w:rPr>
        <w:t xml:space="preserve">A L’OCCASION </w:t>
      </w:r>
      <w:r w:rsidR="00B1429A" w:rsidRPr="00B1429A">
        <w:rPr>
          <w:rFonts w:ascii="Book Antiqua" w:eastAsiaTheme="minorHAnsi" w:hAnsi="Book Antiqua"/>
          <w:b/>
          <w:noProof w:val="0"/>
          <w:sz w:val="28"/>
          <w:szCs w:val="28"/>
          <w:lang w:val="fr-CH"/>
        </w:rPr>
        <w:t>DU 3</w:t>
      </w:r>
      <w:r w:rsidR="00B1429A" w:rsidRPr="00B1429A">
        <w:rPr>
          <w:rFonts w:ascii="Book Antiqua" w:eastAsiaTheme="minorHAnsi" w:hAnsi="Book Antiqua"/>
          <w:b/>
          <w:noProof w:val="0"/>
          <w:sz w:val="28"/>
          <w:szCs w:val="28"/>
          <w:vertAlign w:val="superscript"/>
          <w:lang w:val="fr-CH"/>
        </w:rPr>
        <w:t>ÈME</w:t>
      </w:r>
      <w:r w:rsidR="00B1429A" w:rsidRPr="00B1429A">
        <w:rPr>
          <w:rFonts w:ascii="Book Antiqua" w:eastAsiaTheme="minorHAnsi" w:hAnsi="Book Antiqua"/>
          <w:b/>
          <w:noProof w:val="0"/>
          <w:sz w:val="28"/>
          <w:szCs w:val="28"/>
          <w:lang w:val="fr-CH"/>
        </w:rPr>
        <w:t xml:space="preserve"> CYCLE DE L’EXAMEN PÉRIODIQUE UNIVERSEL</w:t>
      </w:r>
      <w:r w:rsidR="00B1429A" w:rsidRPr="00B1429A">
        <w:rPr>
          <w:rFonts w:ascii="Book Antiqua" w:eastAsiaTheme="minorHAnsi" w:hAnsi="Book Antiqua"/>
          <w:b/>
          <w:bCs/>
          <w:noProof w:val="0"/>
          <w:sz w:val="28"/>
          <w:szCs w:val="28"/>
          <w:lang w:val="fr-FR"/>
        </w:rPr>
        <w:t xml:space="preserve"> </w:t>
      </w:r>
      <w:r w:rsidR="00A37B21" w:rsidRPr="00A37B21">
        <w:rPr>
          <w:rFonts w:ascii="Book Antiqua" w:hAnsi="Book Antiqua"/>
          <w:b/>
          <w:bCs/>
          <w:sz w:val="28"/>
          <w:szCs w:val="28"/>
          <w:lang w:val="fr-FR" w:eastAsia="fr-FR"/>
        </w:rPr>
        <w:t>DE LA REPUBLIQUE ARABE LIBYENNE</w:t>
      </w:r>
      <w:r w:rsidR="00B1429A">
        <w:rPr>
          <w:rFonts w:ascii="Book Antiqua" w:hAnsi="Book Antiqua"/>
          <w:b/>
          <w:bCs/>
          <w:sz w:val="28"/>
          <w:szCs w:val="28"/>
          <w:lang w:val="fr-FR" w:eastAsia="fr-FR"/>
        </w:rPr>
        <w:t xml:space="preserve">  </w:t>
      </w:r>
      <w:r w:rsidR="00B1429A" w:rsidRPr="00B1429A">
        <w:rPr>
          <w:rFonts w:ascii="Book Antiqua" w:hAnsi="Book Antiqua"/>
          <w:b/>
          <w:bCs/>
          <w:sz w:val="28"/>
          <w:szCs w:val="28"/>
          <w:lang w:val="fr-CH" w:eastAsia="fr-FR"/>
        </w:rPr>
        <w:t xml:space="preserve">LORS </w:t>
      </w:r>
    </w:p>
    <w:p w:rsidR="00B1429A" w:rsidRDefault="00B1429A" w:rsidP="00A37B21">
      <w:pPr>
        <w:overflowPunct/>
        <w:autoSpaceDE/>
        <w:autoSpaceDN/>
        <w:adjustRightInd/>
        <w:spacing w:line="256" w:lineRule="auto"/>
        <w:ind w:left="567" w:right="991"/>
        <w:jc w:val="center"/>
        <w:rPr>
          <w:rFonts w:ascii="Book Antiqua" w:hAnsi="Book Antiqua"/>
          <w:b/>
          <w:bCs/>
          <w:sz w:val="28"/>
          <w:szCs w:val="28"/>
          <w:lang w:val="fr-CH" w:eastAsia="fr-FR"/>
        </w:rPr>
      </w:pPr>
      <w:r w:rsidRPr="00B1429A">
        <w:rPr>
          <w:rFonts w:ascii="Book Antiqua" w:hAnsi="Book Antiqua"/>
          <w:b/>
          <w:bCs/>
          <w:sz w:val="28"/>
          <w:szCs w:val="28"/>
          <w:lang w:val="fr-CH" w:eastAsia="fr-FR"/>
        </w:rPr>
        <w:t>DE LA 36</w:t>
      </w:r>
      <w:r w:rsidRPr="00B1429A">
        <w:rPr>
          <w:rFonts w:ascii="Book Antiqua" w:hAnsi="Book Antiqua"/>
          <w:b/>
          <w:bCs/>
          <w:sz w:val="28"/>
          <w:szCs w:val="28"/>
          <w:vertAlign w:val="superscript"/>
          <w:lang w:val="fr-CH" w:eastAsia="fr-FR"/>
        </w:rPr>
        <w:t>ÈME</w:t>
      </w:r>
      <w:r>
        <w:rPr>
          <w:rFonts w:ascii="Book Antiqua" w:hAnsi="Book Antiqua"/>
          <w:b/>
          <w:bCs/>
          <w:sz w:val="28"/>
          <w:szCs w:val="28"/>
          <w:lang w:val="fr-CH" w:eastAsia="fr-FR"/>
        </w:rPr>
        <w:t xml:space="preserve"> </w:t>
      </w:r>
      <w:r w:rsidRPr="00B1429A">
        <w:rPr>
          <w:rFonts w:ascii="Book Antiqua" w:hAnsi="Book Antiqua"/>
          <w:b/>
          <w:bCs/>
          <w:sz w:val="28"/>
          <w:szCs w:val="28"/>
          <w:lang w:val="fr-CH" w:eastAsia="fr-FR"/>
        </w:rPr>
        <w:t xml:space="preserve">SESSION DU GROUPE DE TRAVAIL </w:t>
      </w:r>
    </w:p>
    <w:p w:rsidR="00A37B21" w:rsidRPr="00B1429A" w:rsidRDefault="00B1429A" w:rsidP="00A37B21">
      <w:pPr>
        <w:overflowPunct/>
        <w:autoSpaceDE/>
        <w:autoSpaceDN/>
        <w:adjustRightInd/>
        <w:spacing w:line="256" w:lineRule="auto"/>
        <w:ind w:left="567" w:right="991"/>
        <w:jc w:val="center"/>
        <w:rPr>
          <w:rFonts w:ascii="Book Antiqua" w:hAnsi="Book Antiqua"/>
          <w:b/>
          <w:bCs/>
          <w:sz w:val="28"/>
          <w:szCs w:val="28"/>
          <w:lang w:val="fr-CH" w:eastAsia="fr-FR"/>
        </w:rPr>
      </w:pPr>
      <w:bookmarkStart w:id="0" w:name="_GoBack"/>
      <w:bookmarkEnd w:id="0"/>
      <w:r w:rsidRPr="00B1429A">
        <w:rPr>
          <w:rFonts w:ascii="Book Antiqua" w:hAnsi="Book Antiqua"/>
          <w:b/>
          <w:bCs/>
          <w:sz w:val="28"/>
          <w:szCs w:val="28"/>
          <w:lang w:val="fr-CH" w:eastAsia="fr-FR"/>
        </w:rPr>
        <w:t>SUR L'EXAMEN PÉRIODIQUE UNIVERSEL</w:t>
      </w:r>
    </w:p>
    <w:p w:rsidR="00A37B21" w:rsidRPr="00FC2DE4" w:rsidRDefault="00A37B21" w:rsidP="00A37B21">
      <w:pPr>
        <w:ind w:left="567" w:right="991"/>
        <w:jc w:val="center"/>
        <w:rPr>
          <w:rFonts w:ascii="Bookman Old Style" w:hAnsi="Bookman Old Style"/>
          <w:b/>
          <w:bCs/>
          <w:sz w:val="16"/>
          <w:szCs w:val="16"/>
          <w:lang w:val="fr-FR" w:eastAsia="fr-FR"/>
        </w:rPr>
      </w:pPr>
    </w:p>
    <w:p w:rsidR="00A37B21" w:rsidRPr="00FC2DE4" w:rsidRDefault="00A37B21" w:rsidP="00A37B21">
      <w:pPr>
        <w:ind w:left="567" w:right="991"/>
        <w:jc w:val="center"/>
        <w:rPr>
          <w:rFonts w:ascii="Bookman Old Style" w:hAnsi="Bookman Old Style"/>
          <w:bCs/>
          <w:sz w:val="26"/>
          <w:szCs w:val="26"/>
          <w:lang w:val="fr-FR" w:eastAsia="fr-FR"/>
        </w:rPr>
      </w:pPr>
      <w:r w:rsidRPr="00FC2DE4">
        <w:rPr>
          <w:rFonts w:ascii="Bookman Old Style" w:hAnsi="Bookman Old Style"/>
          <w:bCs/>
          <w:sz w:val="26"/>
          <w:szCs w:val="26"/>
          <w:lang w:val="fr-FR" w:eastAsia="fr-FR"/>
        </w:rPr>
        <w:t>Genève, le 11 Novembre 2020</w:t>
      </w:r>
    </w:p>
    <w:p w:rsidR="00A37B21" w:rsidRDefault="00A37B21" w:rsidP="00A37B21">
      <w:pPr>
        <w:pStyle w:val="Sansinterligne"/>
        <w:ind w:left="567" w:right="991"/>
        <w:jc w:val="both"/>
        <w:rPr>
          <w:rFonts w:ascii="Bookman Old Style" w:hAnsi="Bookman Old Style"/>
          <w:szCs w:val="28"/>
        </w:rPr>
      </w:pPr>
    </w:p>
    <w:p w:rsidR="00FC2DE4" w:rsidRPr="00FC2DE4" w:rsidRDefault="00FC2DE4" w:rsidP="00A37B21">
      <w:pPr>
        <w:pStyle w:val="Sansinterligne"/>
        <w:ind w:left="567" w:right="991"/>
        <w:jc w:val="both"/>
        <w:rPr>
          <w:rFonts w:ascii="Bookman Old Style" w:hAnsi="Bookman Old Style"/>
          <w:szCs w:val="28"/>
        </w:rPr>
      </w:pPr>
    </w:p>
    <w:p w:rsidR="00A37B21" w:rsidRPr="00FC2DE4" w:rsidRDefault="00A37B21" w:rsidP="00A37B21">
      <w:pPr>
        <w:pStyle w:val="Sansinterligne"/>
        <w:ind w:left="567" w:right="991"/>
        <w:jc w:val="both"/>
        <w:rPr>
          <w:rFonts w:ascii="Bookman Old Style" w:hAnsi="Bookman Old Style"/>
          <w:bCs/>
          <w:szCs w:val="28"/>
        </w:rPr>
      </w:pPr>
      <w:r w:rsidRPr="00FC2DE4">
        <w:rPr>
          <w:rFonts w:ascii="Bookman Old Style" w:hAnsi="Bookman Old Style"/>
          <w:bCs/>
          <w:szCs w:val="28"/>
        </w:rPr>
        <w:t>Monsieur le Président,</w:t>
      </w:r>
    </w:p>
    <w:p w:rsidR="00A37B21" w:rsidRPr="00A37B21" w:rsidRDefault="00A37B21" w:rsidP="00A37B21">
      <w:pPr>
        <w:pStyle w:val="Sansinterligne"/>
        <w:ind w:left="567" w:right="991"/>
        <w:jc w:val="both"/>
        <w:rPr>
          <w:rFonts w:ascii="Bookman Old Style" w:hAnsi="Bookman Old Style"/>
          <w:szCs w:val="28"/>
        </w:rPr>
      </w:pPr>
    </w:p>
    <w:p w:rsidR="00A37B21" w:rsidRPr="00B818AA" w:rsidRDefault="00A37B21" w:rsidP="00A37B21">
      <w:pPr>
        <w:ind w:left="567" w:right="991"/>
        <w:jc w:val="both"/>
        <w:rPr>
          <w:rFonts w:ascii="Bookman Old Style" w:hAnsi="Bookman Old Style"/>
          <w:sz w:val="28"/>
          <w:szCs w:val="28"/>
          <w:lang w:val="fr-CH"/>
        </w:rPr>
      </w:pPr>
      <w:r w:rsidRPr="00A37B21">
        <w:rPr>
          <w:rFonts w:ascii="Bookman Old Style" w:hAnsi="Bookman Old Style"/>
          <w:sz w:val="28"/>
          <w:szCs w:val="28"/>
          <w:lang w:val="fr-CH"/>
        </w:rPr>
        <w:t>La délégation du Tchad souhaite la bienvenue à la délégation libyenne conduite par Monsieur le Ministre de la Justice Libyenne</w:t>
      </w:r>
      <w:r w:rsidR="00B818AA">
        <w:rPr>
          <w:rFonts w:ascii="Bookman Old Style" w:hAnsi="Bookman Old Style"/>
          <w:sz w:val="28"/>
          <w:szCs w:val="28"/>
          <w:lang w:val="fr-CH"/>
        </w:rPr>
        <w:t xml:space="preserve"> </w:t>
      </w:r>
      <w:r w:rsidRPr="00A37B21">
        <w:rPr>
          <w:rFonts w:ascii="Bookman Old Style" w:hAnsi="Bookman Old Style"/>
          <w:sz w:val="28"/>
          <w:szCs w:val="28"/>
          <w:lang w:val="fr-CH"/>
        </w:rPr>
        <w:t>et la félicite pour la présentation de son rapport au titre du 3</w:t>
      </w:r>
      <w:r w:rsidRPr="00A37B21">
        <w:rPr>
          <w:rFonts w:ascii="Bookman Old Style" w:hAnsi="Bookman Old Style"/>
          <w:sz w:val="28"/>
          <w:szCs w:val="28"/>
          <w:vertAlign w:val="superscript"/>
          <w:lang w:val="fr-CH"/>
        </w:rPr>
        <w:t>ème</w:t>
      </w:r>
      <w:r w:rsidRPr="00A37B21">
        <w:rPr>
          <w:rFonts w:ascii="Bookman Old Style" w:hAnsi="Bookman Old Style"/>
          <w:sz w:val="28"/>
          <w:szCs w:val="28"/>
          <w:lang w:val="fr-CH"/>
        </w:rPr>
        <w:t xml:space="preserve"> </w:t>
      </w:r>
      <w:r w:rsidR="0029557A">
        <w:rPr>
          <w:rFonts w:ascii="Bookman Old Style" w:hAnsi="Bookman Old Style"/>
          <w:sz w:val="28"/>
          <w:szCs w:val="28"/>
          <w:lang w:val="fr-CH"/>
        </w:rPr>
        <w:t xml:space="preserve">cycle </w:t>
      </w:r>
      <w:r w:rsidRPr="00A37B21">
        <w:rPr>
          <w:rFonts w:ascii="Bookman Old Style" w:hAnsi="Bookman Old Style"/>
          <w:sz w:val="28"/>
          <w:szCs w:val="28"/>
          <w:lang w:val="fr-CH"/>
        </w:rPr>
        <w:t xml:space="preserve">de l’Examen Périodique Universel (EPU) contenant des </w:t>
      </w:r>
      <w:r w:rsidRPr="00A37B21">
        <w:rPr>
          <w:rFonts w:ascii="Bookman Old Style" w:hAnsi="Bookman Old Style"/>
          <w:sz w:val="28"/>
          <w:szCs w:val="28"/>
          <w:lang w:val="fr-FR" w:eastAsia="fr-FR"/>
        </w:rPr>
        <w:t>pertinentes informations.</w:t>
      </w:r>
    </w:p>
    <w:p w:rsidR="00A37B21" w:rsidRPr="00A37B21" w:rsidRDefault="00A37B21" w:rsidP="00A37B21">
      <w:pPr>
        <w:ind w:left="567" w:right="991"/>
        <w:jc w:val="both"/>
        <w:rPr>
          <w:rFonts w:ascii="Bookman Old Style" w:hAnsi="Bookman Old Style"/>
          <w:sz w:val="28"/>
          <w:szCs w:val="28"/>
          <w:lang w:val="fr-CH"/>
        </w:rPr>
      </w:pPr>
    </w:p>
    <w:p w:rsidR="00A37B21" w:rsidRPr="00A37B21" w:rsidRDefault="00A37B21" w:rsidP="00A37B21">
      <w:pPr>
        <w:ind w:left="567" w:right="991"/>
        <w:jc w:val="both"/>
        <w:rPr>
          <w:rFonts w:ascii="Bookman Old Style" w:hAnsi="Bookman Old Style"/>
          <w:color w:val="000000"/>
          <w:sz w:val="28"/>
          <w:szCs w:val="28"/>
          <w:lang w:val="fr-CH"/>
        </w:rPr>
      </w:pPr>
      <w:r w:rsidRPr="00A37B21">
        <w:rPr>
          <w:rFonts w:ascii="Bookman Old Style" w:hAnsi="Bookman Old Style"/>
          <w:color w:val="000000"/>
          <w:sz w:val="28"/>
          <w:szCs w:val="28"/>
          <w:lang w:val="fr-CH"/>
        </w:rPr>
        <w:t>Conscient des difficultés auxquelles sont confrontées les autorités libyennes, la délégation du Tchad salue la volonté et le plein engagement du Gouvernement d’entente nationale à promouvoir les droits de l’homme, et ce, à travers la promulgation de lois de mise en œuvre de plusieurs recommandations acceptées à l’issue de son deuxième cycle de l’Examen périodique universel en 2015.</w:t>
      </w:r>
    </w:p>
    <w:p w:rsidR="00A37B21" w:rsidRPr="00A37B21" w:rsidRDefault="00A37B21" w:rsidP="00A37B21">
      <w:pPr>
        <w:ind w:left="567" w:right="991"/>
        <w:jc w:val="both"/>
        <w:rPr>
          <w:rFonts w:ascii="Bookman Old Style" w:hAnsi="Bookman Old Style"/>
          <w:color w:val="000000"/>
          <w:sz w:val="28"/>
          <w:szCs w:val="28"/>
          <w:lang w:val="fr-CH"/>
        </w:rPr>
      </w:pPr>
    </w:p>
    <w:p w:rsidR="00A37B21" w:rsidRPr="00A37B21" w:rsidRDefault="00A37B21" w:rsidP="00A37B21">
      <w:pPr>
        <w:ind w:left="567" w:right="991"/>
        <w:jc w:val="both"/>
        <w:rPr>
          <w:rFonts w:ascii="Bookman Old Style" w:hAnsi="Bookman Old Style"/>
          <w:color w:val="000000"/>
          <w:sz w:val="28"/>
          <w:szCs w:val="28"/>
          <w:lang w:val="fr-CH"/>
        </w:rPr>
      </w:pPr>
      <w:r w:rsidRPr="00A37B21">
        <w:rPr>
          <w:rFonts w:ascii="Bookman Old Style" w:hAnsi="Bookman Old Style"/>
          <w:color w:val="000000"/>
          <w:sz w:val="28"/>
          <w:szCs w:val="28"/>
          <w:lang w:val="fr-CH"/>
        </w:rPr>
        <w:t>Dans un esprit constructif, le Tchad recommande à la Libye d’élaborer une feuille de route nationale afin d’établir une stratégie permettant de répondre de manière appropriée et efficace aux situations de déplacement interne, conformément aux Principes directeurs relatifs au déplacement de personnes à l’intérieur de leur propre pays.</w:t>
      </w:r>
    </w:p>
    <w:p w:rsidR="00A37B21" w:rsidRPr="00A37B21" w:rsidRDefault="00A37B21" w:rsidP="00A37B21">
      <w:pPr>
        <w:ind w:left="567" w:right="991"/>
        <w:jc w:val="both"/>
        <w:rPr>
          <w:rFonts w:ascii="Bookman Old Style" w:hAnsi="Bookman Old Style"/>
          <w:color w:val="000000"/>
          <w:sz w:val="28"/>
          <w:szCs w:val="28"/>
          <w:lang w:val="fr-CH"/>
        </w:rPr>
      </w:pPr>
    </w:p>
    <w:p w:rsidR="00A37B21" w:rsidRPr="00A37B21" w:rsidRDefault="00A37B21" w:rsidP="00A37B21">
      <w:pPr>
        <w:ind w:left="567" w:right="991"/>
        <w:jc w:val="both"/>
        <w:rPr>
          <w:rFonts w:ascii="Bookman Old Style" w:hAnsi="Bookman Old Style"/>
          <w:sz w:val="28"/>
          <w:szCs w:val="28"/>
          <w:lang w:val="fr-CH"/>
        </w:rPr>
      </w:pPr>
      <w:r w:rsidRPr="00A37B21">
        <w:rPr>
          <w:rFonts w:ascii="Bookman Old Style" w:hAnsi="Bookman Old Style"/>
          <w:sz w:val="28"/>
          <w:szCs w:val="28"/>
          <w:lang w:val="fr-CH"/>
        </w:rPr>
        <w:t>Le Tchad souhaite à la délégation libyenne un examen couronné de succès.</w:t>
      </w:r>
    </w:p>
    <w:p w:rsidR="00A37B21" w:rsidRPr="00A37B21" w:rsidRDefault="00A37B21" w:rsidP="00A37B21">
      <w:pPr>
        <w:ind w:left="567" w:right="991"/>
        <w:jc w:val="both"/>
        <w:rPr>
          <w:rFonts w:ascii="Bookman Old Style" w:hAnsi="Bookman Old Style"/>
          <w:sz w:val="28"/>
          <w:szCs w:val="28"/>
          <w:lang w:val="fr-CH"/>
        </w:rPr>
      </w:pPr>
    </w:p>
    <w:p w:rsidR="00A37B21" w:rsidRPr="00A37B21" w:rsidRDefault="00A37B21" w:rsidP="00A37B21">
      <w:pPr>
        <w:ind w:left="567" w:right="991"/>
        <w:jc w:val="both"/>
        <w:rPr>
          <w:rFonts w:ascii="Bookman Old Style" w:hAnsi="Bookman Old Style"/>
          <w:bCs/>
          <w:color w:val="000000"/>
          <w:sz w:val="28"/>
          <w:szCs w:val="28"/>
        </w:rPr>
      </w:pPr>
      <w:r w:rsidRPr="00A37B21">
        <w:rPr>
          <w:rFonts w:ascii="Bookman Old Style" w:hAnsi="Bookman Old Style"/>
          <w:bCs/>
          <w:color w:val="000000"/>
          <w:sz w:val="28"/>
          <w:szCs w:val="28"/>
        </w:rPr>
        <w:t>Je vous remercie</w:t>
      </w:r>
      <w:r w:rsidR="0029557A">
        <w:rPr>
          <w:rFonts w:ascii="Bookman Old Style" w:hAnsi="Bookman Old Style"/>
          <w:bCs/>
          <w:color w:val="000000"/>
          <w:sz w:val="28"/>
          <w:szCs w:val="28"/>
        </w:rPr>
        <w:t>.</w:t>
      </w:r>
    </w:p>
    <w:p w:rsidR="00FD6A82" w:rsidRPr="00A37B21" w:rsidRDefault="00FD6A82" w:rsidP="00A37B21">
      <w:pPr>
        <w:overflowPunct/>
        <w:autoSpaceDE/>
        <w:autoSpaceDN/>
        <w:adjustRightInd/>
        <w:spacing w:line="256" w:lineRule="auto"/>
        <w:ind w:left="567" w:right="991"/>
        <w:jc w:val="center"/>
        <w:rPr>
          <w:rFonts w:ascii="Book Antiqua" w:hAnsi="Book Antiqua"/>
          <w:sz w:val="28"/>
          <w:szCs w:val="28"/>
        </w:rPr>
      </w:pPr>
    </w:p>
    <w:sectPr w:rsidR="00FD6A82" w:rsidRPr="00A37B21" w:rsidSect="00501044">
      <w:headerReference w:type="default" r:id="rId8"/>
      <w:footerReference w:type="even" r:id="rId9"/>
      <w:footerReference w:type="default" r:id="rId10"/>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75" w:rsidRDefault="00AC4B75" w:rsidP="0000663D">
      <w:r>
        <w:separator/>
      </w:r>
    </w:p>
  </w:endnote>
  <w:endnote w:type="continuationSeparator" w:id="0">
    <w:p w:rsidR="00AC4B75" w:rsidRDefault="00AC4B75"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2806E3" w:rsidRPr="002806E3">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75" w:rsidRDefault="00AC4B75" w:rsidP="0000663D">
      <w:r>
        <w:separator/>
      </w:r>
    </w:p>
  </w:footnote>
  <w:footnote w:type="continuationSeparator" w:id="0">
    <w:p w:rsidR="00AC4B75" w:rsidRDefault="00AC4B75"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460D7"/>
    <w:rsid w:val="00051635"/>
    <w:rsid w:val="000930CC"/>
    <w:rsid w:val="000B0279"/>
    <w:rsid w:val="000C0C9E"/>
    <w:rsid w:val="000D1610"/>
    <w:rsid w:val="000D2163"/>
    <w:rsid w:val="001155BD"/>
    <w:rsid w:val="00144D85"/>
    <w:rsid w:val="0015288E"/>
    <w:rsid w:val="0016279D"/>
    <w:rsid w:val="00195D49"/>
    <w:rsid w:val="001D7A5E"/>
    <w:rsid w:val="001F30AC"/>
    <w:rsid w:val="00220E70"/>
    <w:rsid w:val="00244E02"/>
    <w:rsid w:val="00251DD3"/>
    <w:rsid w:val="00255E63"/>
    <w:rsid w:val="002806E3"/>
    <w:rsid w:val="00286508"/>
    <w:rsid w:val="0029557A"/>
    <w:rsid w:val="002A0307"/>
    <w:rsid w:val="002B1A79"/>
    <w:rsid w:val="002E587C"/>
    <w:rsid w:val="00331354"/>
    <w:rsid w:val="0033178F"/>
    <w:rsid w:val="003359A6"/>
    <w:rsid w:val="00341BC4"/>
    <w:rsid w:val="00341D75"/>
    <w:rsid w:val="003737D8"/>
    <w:rsid w:val="00381CFE"/>
    <w:rsid w:val="003A2B88"/>
    <w:rsid w:val="003E35CE"/>
    <w:rsid w:val="00436218"/>
    <w:rsid w:val="004557C6"/>
    <w:rsid w:val="004737F0"/>
    <w:rsid w:val="004A053A"/>
    <w:rsid w:val="004A2A3B"/>
    <w:rsid w:val="004A4526"/>
    <w:rsid w:val="004D581D"/>
    <w:rsid w:val="004E0946"/>
    <w:rsid w:val="00501044"/>
    <w:rsid w:val="0052582C"/>
    <w:rsid w:val="0054472A"/>
    <w:rsid w:val="00547317"/>
    <w:rsid w:val="00552506"/>
    <w:rsid w:val="00565710"/>
    <w:rsid w:val="00590158"/>
    <w:rsid w:val="005A24B6"/>
    <w:rsid w:val="005F1D2E"/>
    <w:rsid w:val="005F3D14"/>
    <w:rsid w:val="00654B88"/>
    <w:rsid w:val="006646E0"/>
    <w:rsid w:val="0066744E"/>
    <w:rsid w:val="00676438"/>
    <w:rsid w:val="006808D5"/>
    <w:rsid w:val="006B3CEB"/>
    <w:rsid w:val="006B3D3B"/>
    <w:rsid w:val="006C5B41"/>
    <w:rsid w:val="00712ED5"/>
    <w:rsid w:val="00744FA0"/>
    <w:rsid w:val="00751E01"/>
    <w:rsid w:val="007704BE"/>
    <w:rsid w:val="007B3F0E"/>
    <w:rsid w:val="007B7116"/>
    <w:rsid w:val="007B7296"/>
    <w:rsid w:val="00805DE1"/>
    <w:rsid w:val="008455BE"/>
    <w:rsid w:val="00865CC5"/>
    <w:rsid w:val="008A6DE2"/>
    <w:rsid w:val="008D798D"/>
    <w:rsid w:val="00901F6B"/>
    <w:rsid w:val="00926493"/>
    <w:rsid w:val="00930711"/>
    <w:rsid w:val="00946F17"/>
    <w:rsid w:val="00984D55"/>
    <w:rsid w:val="0099175A"/>
    <w:rsid w:val="009B3ECA"/>
    <w:rsid w:val="009C7C61"/>
    <w:rsid w:val="009E6239"/>
    <w:rsid w:val="00A06044"/>
    <w:rsid w:val="00A112D5"/>
    <w:rsid w:val="00A329F9"/>
    <w:rsid w:val="00A344CB"/>
    <w:rsid w:val="00A37A2E"/>
    <w:rsid w:val="00A37B21"/>
    <w:rsid w:val="00A4359E"/>
    <w:rsid w:val="00A61C50"/>
    <w:rsid w:val="00AB15BD"/>
    <w:rsid w:val="00AC3E60"/>
    <w:rsid w:val="00AC4B75"/>
    <w:rsid w:val="00AF06B6"/>
    <w:rsid w:val="00B1429A"/>
    <w:rsid w:val="00B3649D"/>
    <w:rsid w:val="00B60E77"/>
    <w:rsid w:val="00B668F5"/>
    <w:rsid w:val="00B66EF7"/>
    <w:rsid w:val="00B818AA"/>
    <w:rsid w:val="00B81D1E"/>
    <w:rsid w:val="00B96802"/>
    <w:rsid w:val="00BA7C65"/>
    <w:rsid w:val="00BB6D5F"/>
    <w:rsid w:val="00BE29E5"/>
    <w:rsid w:val="00C35491"/>
    <w:rsid w:val="00C450FB"/>
    <w:rsid w:val="00C4761E"/>
    <w:rsid w:val="00C60435"/>
    <w:rsid w:val="00C76C74"/>
    <w:rsid w:val="00CA36FF"/>
    <w:rsid w:val="00CC5F51"/>
    <w:rsid w:val="00CF54C5"/>
    <w:rsid w:val="00D15130"/>
    <w:rsid w:val="00D23846"/>
    <w:rsid w:val="00D307AB"/>
    <w:rsid w:val="00DA3767"/>
    <w:rsid w:val="00DA4EBC"/>
    <w:rsid w:val="00DB0231"/>
    <w:rsid w:val="00DB1D80"/>
    <w:rsid w:val="00DC2F4B"/>
    <w:rsid w:val="00DC56A0"/>
    <w:rsid w:val="00DD16AE"/>
    <w:rsid w:val="00DE6DD5"/>
    <w:rsid w:val="00DF4E9A"/>
    <w:rsid w:val="00DF562E"/>
    <w:rsid w:val="00DF6791"/>
    <w:rsid w:val="00E00898"/>
    <w:rsid w:val="00E2335C"/>
    <w:rsid w:val="00E36163"/>
    <w:rsid w:val="00E54080"/>
    <w:rsid w:val="00E62A57"/>
    <w:rsid w:val="00E804B3"/>
    <w:rsid w:val="00E862A4"/>
    <w:rsid w:val="00EC7335"/>
    <w:rsid w:val="00ED3007"/>
    <w:rsid w:val="00EE03C9"/>
    <w:rsid w:val="00F23B75"/>
    <w:rsid w:val="00F36B70"/>
    <w:rsid w:val="00F45D30"/>
    <w:rsid w:val="00F52E40"/>
    <w:rsid w:val="00F75E4B"/>
    <w:rsid w:val="00FB2E63"/>
    <w:rsid w:val="00FC10A6"/>
    <w:rsid w:val="00FC2DE4"/>
    <w:rsid w:val="00FD6A82"/>
    <w:rsid w:val="00FE2A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6439-903F-4D6D-93DC-737D1670F8B7}"/>
</file>

<file path=customXml/itemProps2.xml><?xml version="1.0" encoding="utf-8"?>
<ds:datastoreItem xmlns:ds="http://schemas.openxmlformats.org/officeDocument/2006/customXml" ds:itemID="{936846E9-72D0-4639-8E25-AFCD3B07E2CE}"/>
</file>

<file path=customXml/itemProps3.xml><?xml version="1.0" encoding="utf-8"?>
<ds:datastoreItem xmlns:ds="http://schemas.openxmlformats.org/officeDocument/2006/customXml" ds:itemID="{66DB7676-5944-43E5-86D3-9838B88B158A}"/>
</file>

<file path=customXml/itemProps4.xml><?xml version="1.0" encoding="utf-8"?>
<ds:datastoreItem xmlns:ds="http://schemas.openxmlformats.org/officeDocument/2006/customXml" ds:itemID="{554ED558-A8EB-4935-90FE-436DB16B88EB}"/>
</file>

<file path=docProps/app.xml><?xml version="1.0" encoding="utf-8"?>
<Properties xmlns="http://schemas.openxmlformats.org/officeDocument/2006/extended-properties" xmlns:vt="http://schemas.openxmlformats.org/officeDocument/2006/docPropsVTypes">
  <Template>Normal</Template>
  <TotalTime>149</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2020-10-21T07:35:00Z</cp:lastPrinted>
  <dcterms:created xsi:type="dcterms:W3CDTF">2020-11-10T10:44:00Z</dcterms:created>
  <dcterms:modified xsi:type="dcterms:W3CDTF">2020-11-10T13:27:00Z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