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08" w:rsidRDefault="001E0D08" w:rsidP="001E0D08">
      <w:pPr>
        <w:jc w:val="center"/>
        <w:rPr>
          <w:rFonts w:ascii="Georgia" w:hAnsi="Georgia"/>
          <w:b/>
          <w:bCs/>
          <w:sz w:val="24"/>
          <w:szCs w:val="24"/>
        </w:rPr>
      </w:pPr>
      <w:r>
        <w:rPr>
          <w:rFonts w:ascii="Georgia" w:hAnsi="Georgia"/>
          <w:b/>
          <w:bCs/>
          <w:sz w:val="24"/>
          <w:szCs w:val="24"/>
        </w:rPr>
        <w:t>UPR 36</w:t>
      </w:r>
    </w:p>
    <w:p w:rsidR="001E0D08" w:rsidRDefault="001E0D08" w:rsidP="001E0D08">
      <w:pPr>
        <w:jc w:val="center"/>
        <w:rPr>
          <w:rFonts w:ascii="Georgia" w:hAnsi="Georgia"/>
          <w:sz w:val="24"/>
          <w:szCs w:val="24"/>
        </w:rPr>
      </w:pPr>
      <w:r>
        <w:rPr>
          <w:rFonts w:ascii="Georgia" w:hAnsi="Georgia"/>
          <w:sz w:val="24"/>
          <w:szCs w:val="24"/>
        </w:rPr>
        <w:t>Honduras</w:t>
      </w:r>
    </w:p>
    <w:p w:rsidR="001E0D08" w:rsidRDefault="001E0D08" w:rsidP="001E0D08">
      <w:pPr>
        <w:jc w:val="center"/>
        <w:rPr>
          <w:rFonts w:ascii="Georgia" w:hAnsi="Georgia"/>
          <w:i/>
          <w:iCs/>
          <w:sz w:val="24"/>
          <w:szCs w:val="24"/>
        </w:rPr>
      </w:pPr>
      <w:proofErr w:type="gramStart"/>
      <w:r>
        <w:rPr>
          <w:rFonts w:ascii="Georgia" w:hAnsi="Georgia"/>
          <w:i/>
          <w:iCs/>
          <w:sz w:val="24"/>
          <w:szCs w:val="24"/>
        </w:rPr>
        <w:t>5  November</w:t>
      </w:r>
      <w:proofErr w:type="gramEnd"/>
      <w:r>
        <w:rPr>
          <w:rFonts w:ascii="Georgia" w:hAnsi="Georgia"/>
          <w:i/>
          <w:iCs/>
          <w:sz w:val="24"/>
          <w:szCs w:val="24"/>
        </w:rPr>
        <w:t xml:space="preserve"> 2020</w:t>
      </w:r>
    </w:p>
    <w:p w:rsidR="001E0D08" w:rsidRDefault="007A6EF1" w:rsidP="001E0D08">
      <w:pPr>
        <w:jc w:val="center"/>
        <w:rPr>
          <w:rFonts w:ascii="Georgia" w:hAnsi="Georgia"/>
          <w:b/>
          <w:bCs/>
          <w:sz w:val="24"/>
          <w:szCs w:val="24"/>
        </w:rPr>
      </w:pPr>
      <w:r>
        <w:rPr>
          <w:rFonts w:ascii="Georgia" w:hAnsi="Georgia"/>
          <w:b/>
          <w:bCs/>
          <w:sz w:val="24"/>
          <w:szCs w:val="24"/>
        </w:rPr>
        <w:t>Statement by the Czech R</w:t>
      </w:r>
      <w:bookmarkStart w:id="0" w:name="_GoBack"/>
      <w:bookmarkEnd w:id="0"/>
      <w:r w:rsidR="001E0D08">
        <w:rPr>
          <w:rFonts w:ascii="Georgia" w:hAnsi="Georgia"/>
          <w:b/>
          <w:bCs/>
          <w:sz w:val="24"/>
          <w:szCs w:val="24"/>
        </w:rPr>
        <w:t>epublic</w:t>
      </w:r>
    </w:p>
    <w:p w:rsidR="001E0D08" w:rsidRDefault="001E0D08" w:rsidP="001E0D08"/>
    <w:p w:rsidR="001E0D08" w:rsidRDefault="001E0D08" w:rsidP="001E0D08">
      <w:pPr>
        <w:jc w:val="both"/>
        <w:rPr>
          <w:rFonts w:ascii="Georgia" w:hAnsi="Georgia"/>
          <w:sz w:val="24"/>
          <w:szCs w:val="24"/>
        </w:rPr>
      </w:pPr>
      <w:r>
        <w:rPr>
          <w:rFonts w:ascii="Georgia" w:hAnsi="Georgia"/>
          <w:sz w:val="24"/>
          <w:szCs w:val="24"/>
        </w:rPr>
        <w:t>The Czech Republic thanks Honduras for its National Report and active participation in the UPR process.</w:t>
      </w:r>
    </w:p>
    <w:p w:rsidR="001E0D08" w:rsidRDefault="001E0D08" w:rsidP="001E0D08">
      <w:pPr>
        <w:jc w:val="both"/>
        <w:rPr>
          <w:rFonts w:ascii="Georgia" w:hAnsi="Georgia" w:cs="Arial"/>
          <w:sz w:val="24"/>
          <w:szCs w:val="24"/>
        </w:rPr>
      </w:pPr>
      <w:r>
        <w:rPr>
          <w:rFonts w:ascii="Georgia" w:hAnsi="Georgia"/>
          <w:sz w:val="24"/>
          <w:szCs w:val="24"/>
        </w:rPr>
        <w:t xml:space="preserve">In response to our previous recommendations, we appreciate the establishment of the </w:t>
      </w:r>
      <w:proofErr w:type="gramStart"/>
      <w:r>
        <w:rPr>
          <w:rFonts w:ascii="Georgia" w:hAnsi="Georgia"/>
          <w:sz w:val="24"/>
          <w:szCs w:val="24"/>
        </w:rPr>
        <w:t>Office  of</w:t>
      </w:r>
      <w:proofErr w:type="gramEnd"/>
      <w:r>
        <w:rPr>
          <w:rFonts w:ascii="Georgia" w:hAnsi="Georgia"/>
          <w:sz w:val="24"/>
          <w:szCs w:val="24"/>
        </w:rPr>
        <w:t xml:space="preserve"> the  Special  Prosecutor  for  the  Protection  of  Human  Rights Defenders</w:t>
      </w:r>
      <w:r>
        <w:rPr>
          <w:rFonts w:ascii="Georgia" w:hAnsi="Georgia" w:cs="Arial"/>
          <w:sz w:val="24"/>
          <w:szCs w:val="24"/>
        </w:rPr>
        <w:t xml:space="preserve">, Journalists, Media Professionals and Justice Officials. </w:t>
      </w:r>
      <w:r>
        <w:rPr>
          <w:rFonts w:ascii="Georgia" w:hAnsi="Georgia"/>
          <w:sz w:val="24"/>
          <w:szCs w:val="24"/>
        </w:rPr>
        <w:t xml:space="preserve">As reports indicate, these persons, such as environmental and indigenous activists, face significant challenges. We </w:t>
      </w:r>
      <w:r>
        <w:rPr>
          <w:rFonts w:ascii="Georgia" w:hAnsi="Georgia"/>
          <w:b/>
          <w:bCs/>
          <w:sz w:val="24"/>
          <w:szCs w:val="24"/>
        </w:rPr>
        <w:t>recommend</w:t>
      </w:r>
      <w:r>
        <w:rPr>
          <w:rFonts w:ascii="Georgia" w:hAnsi="Georgia"/>
          <w:sz w:val="24"/>
          <w:szCs w:val="24"/>
        </w:rPr>
        <w:t xml:space="preserve"> to provide the National Protection System and the Office </w:t>
      </w:r>
      <w:proofErr w:type="gramStart"/>
      <w:r>
        <w:rPr>
          <w:rFonts w:ascii="Georgia" w:hAnsi="Georgia"/>
          <w:sz w:val="24"/>
          <w:szCs w:val="24"/>
        </w:rPr>
        <w:t>of  the</w:t>
      </w:r>
      <w:proofErr w:type="gramEnd"/>
      <w:r>
        <w:rPr>
          <w:rFonts w:ascii="Georgia" w:hAnsi="Georgia"/>
          <w:sz w:val="24"/>
          <w:szCs w:val="24"/>
        </w:rPr>
        <w:t xml:space="preserve">  Special  Prosecutor the necessary funding and operational capacity by the next UPR. </w:t>
      </w:r>
    </w:p>
    <w:p w:rsidR="001E0D08" w:rsidRDefault="001E0D08" w:rsidP="001E0D08">
      <w:pPr>
        <w:jc w:val="both"/>
        <w:rPr>
          <w:rFonts w:ascii="Georgia" w:hAnsi="Georgia"/>
          <w:sz w:val="24"/>
          <w:szCs w:val="24"/>
        </w:rPr>
      </w:pPr>
      <w:r>
        <w:rPr>
          <w:rFonts w:ascii="Georgia" w:hAnsi="Georgia" w:cs="Arial"/>
          <w:sz w:val="24"/>
          <w:szCs w:val="24"/>
        </w:rPr>
        <w:t xml:space="preserve">We note the development of the Institutional Strategic Plan 2017–2021. In this context, we </w:t>
      </w:r>
      <w:r>
        <w:rPr>
          <w:rFonts w:ascii="Georgia" w:hAnsi="Georgia"/>
          <w:b/>
          <w:bCs/>
          <w:sz w:val="24"/>
          <w:szCs w:val="24"/>
        </w:rPr>
        <w:t xml:space="preserve">recommend </w:t>
      </w:r>
      <w:r>
        <w:rPr>
          <w:rFonts w:ascii="Georgia" w:hAnsi="Georgia"/>
          <w:sz w:val="24"/>
          <w:szCs w:val="24"/>
        </w:rPr>
        <w:t>to ensure the independence of the judiciary by establishing clear rules and objective criteria with regard to the judicial service, including for the appointment, promotion and dismissal of judges, and the application of disciplinary sanctions.</w:t>
      </w:r>
    </w:p>
    <w:p w:rsidR="001E0D08" w:rsidRDefault="001E0D08" w:rsidP="001E0D08">
      <w:pPr>
        <w:jc w:val="both"/>
        <w:rPr>
          <w:rFonts w:ascii="Georgia" w:hAnsi="Georgia"/>
          <w:sz w:val="24"/>
          <w:szCs w:val="24"/>
        </w:rPr>
      </w:pPr>
      <w:r>
        <w:rPr>
          <w:rFonts w:ascii="Georgia" w:hAnsi="Georgia"/>
          <w:sz w:val="24"/>
          <w:szCs w:val="24"/>
        </w:rPr>
        <w:t xml:space="preserve">Since the first cycle, the Czech Republic has focused on the fight against discrimination of women and girls. As we observe </w:t>
      </w:r>
      <w:proofErr w:type="spellStart"/>
      <w:r>
        <w:rPr>
          <w:rFonts w:ascii="Georgia" w:hAnsi="Georgia"/>
          <w:sz w:val="24"/>
          <w:szCs w:val="24"/>
        </w:rPr>
        <w:t>streghtening</w:t>
      </w:r>
      <w:proofErr w:type="spellEnd"/>
      <w:r>
        <w:rPr>
          <w:rFonts w:ascii="Georgia" w:hAnsi="Georgia"/>
          <w:sz w:val="24"/>
          <w:szCs w:val="24"/>
        </w:rPr>
        <w:t xml:space="preserve"> of the institutional framework on gender-related crimes, we remain concerned about the level of violence and </w:t>
      </w:r>
      <w:r>
        <w:rPr>
          <w:rFonts w:ascii="Georgia" w:hAnsi="Georgia"/>
          <w:b/>
          <w:bCs/>
          <w:sz w:val="24"/>
          <w:szCs w:val="24"/>
        </w:rPr>
        <w:t xml:space="preserve">recommend </w:t>
      </w:r>
      <w:proofErr w:type="gramStart"/>
      <w:r>
        <w:rPr>
          <w:rFonts w:ascii="Georgia" w:hAnsi="Georgia"/>
          <w:sz w:val="24"/>
          <w:szCs w:val="24"/>
        </w:rPr>
        <w:t xml:space="preserve">to allocate sufficient resources to programmes under the initiative “Ciudad </w:t>
      </w:r>
      <w:proofErr w:type="spellStart"/>
      <w:r>
        <w:rPr>
          <w:rFonts w:ascii="Georgia" w:hAnsi="Georgia"/>
          <w:sz w:val="24"/>
          <w:szCs w:val="24"/>
        </w:rPr>
        <w:t>Mujer</w:t>
      </w:r>
      <w:proofErr w:type="spellEnd"/>
      <w:r>
        <w:rPr>
          <w:rFonts w:ascii="Georgia" w:hAnsi="Georgia"/>
          <w:sz w:val="24"/>
          <w:szCs w:val="24"/>
        </w:rPr>
        <w:t>” and secure</w:t>
      </w:r>
      <w:proofErr w:type="gramEnd"/>
      <w:r>
        <w:rPr>
          <w:rFonts w:ascii="Georgia" w:hAnsi="Georgia"/>
          <w:sz w:val="24"/>
          <w:szCs w:val="24"/>
        </w:rPr>
        <w:t xml:space="preserve"> their availability across the country.</w:t>
      </w:r>
    </w:p>
    <w:p w:rsidR="001E0D08" w:rsidRDefault="001E0D08" w:rsidP="001E0D08">
      <w:pPr>
        <w:jc w:val="both"/>
        <w:rPr>
          <w:rFonts w:ascii="Georgia" w:hAnsi="Georgia"/>
          <w:sz w:val="24"/>
          <w:szCs w:val="24"/>
        </w:rPr>
      </w:pPr>
      <w:r>
        <w:rPr>
          <w:rFonts w:ascii="Georgia" w:hAnsi="Georgia"/>
          <w:sz w:val="24"/>
          <w:szCs w:val="24"/>
        </w:rPr>
        <w:t xml:space="preserve">Similarly, we continue to follow the situation of sexual and other minorities. We </w:t>
      </w:r>
      <w:r>
        <w:rPr>
          <w:rFonts w:ascii="Georgia" w:hAnsi="Georgia"/>
          <w:b/>
          <w:bCs/>
          <w:sz w:val="24"/>
          <w:szCs w:val="24"/>
        </w:rPr>
        <w:t xml:space="preserve">recommend </w:t>
      </w:r>
      <w:proofErr w:type="gramStart"/>
      <w:r>
        <w:rPr>
          <w:rFonts w:ascii="Georgia" w:hAnsi="Georgia"/>
          <w:bCs/>
          <w:sz w:val="24"/>
          <w:szCs w:val="24"/>
        </w:rPr>
        <w:t>to</w:t>
      </w:r>
      <w:r>
        <w:rPr>
          <w:rFonts w:ascii="Georgia" w:hAnsi="Georgia"/>
          <w:sz w:val="24"/>
          <w:szCs w:val="24"/>
        </w:rPr>
        <w:t xml:space="preserve"> ensure</w:t>
      </w:r>
      <w:proofErr w:type="gramEnd"/>
      <w:r>
        <w:rPr>
          <w:rFonts w:ascii="Georgia" w:hAnsi="Georgia"/>
          <w:sz w:val="24"/>
          <w:szCs w:val="24"/>
        </w:rPr>
        <w:t xml:space="preserve"> prompt and effective investigations and prosecution of killings of LGBT persons and other related crimes. </w:t>
      </w:r>
    </w:p>
    <w:p w:rsidR="001E0D08" w:rsidRDefault="001E0D08" w:rsidP="001E0D08">
      <w:pPr>
        <w:jc w:val="both"/>
        <w:rPr>
          <w:rFonts w:ascii="Georgia" w:hAnsi="Georgia"/>
          <w:sz w:val="24"/>
          <w:szCs w:val="24"/>
          <w:lang w:val="cs-CZ"/>
        </w:rPr>
      </w:pPr>
      <w:proofErr w:type="spellStart"/>
      <w:r>
        <w:rPr>
          <w:rFonts w:ascii="Georgia" w:hAnsi="Georgia"/>
          <w:sz w:val="24"/>
          <w:szCs w:val="24"/>
          <w:lang w:val="cs-CZ"/>
        </w:rPr>
        <w:t>We</w:t>
      </w:r>
      <w:proofErr w:type="spellEnd"/>
      <w:r>
        <w:rPr>
          <w:rFonts w:ascii="Georgia" w:hAnsi="Georgia"/>
          <w:sz w:val="24"/>
          <w:szCs w:val="24"/>
          <w:lang w:val="cs-CZ"/>
        </w:rPr>
        <w:t xml:space="preserve"> </w:t>
      </w:r>
      <w:proofErr w:type="spellStart"/>
      <w:r>
        <w:rPr>
          <w:rFonts w:ascii="Georgia" w:hAnsi="Georgia"/>
          <w:sz w:val="24"/>
          <w:szCs w:val="24"/>
          <w:lang w:val="cs-CZ"/>
        </w:rPr>
        <w:t>wish</w:t>
      </w:r>
      <w:proofErr w:type="spellEnd"/>
      <w:r>
        <w:rPr>
          <w:rFonts w:ascii="Georgia" w:hAnsi="Georgia"/>
          <w:sz w:val="24"/>
          <w:szCs w:val="24"/>
          <w:lang w:val="cs-CZ"/>
        </w:rPr>
        <w:t xml:space="preserve"> Honduras a </w:t>
      </w:r>
      <w:proofErr w:type="spellStart"/>
      <w:r>
        <w:rPr>
          <w:rFonts w:ascii="Georgia" w:hAnsi="Georgia"/>
          <w:sz w:val="24"/>
          <w:szCs w:val="24"/>
          <w:lang w:val="cs-CZ"/>
        </w:rPr>
        <w:t>successful</w:t>
      </w:r>
      <w:proofErr w:type="spellEnd"/>
      <w:r>
        <w:rPr>
          <w:rFonts w:ascii="Georgia" w:hAnsi="Georgia"/>
          <w:sz w:val="24"/>
          <w:szCs w:val="24"/>
          <w:lang w:val="cs-CZ"/>
        </w:rPr>
        <w:t xml:space="preserve"> </w:t>
      </w:r>
      <w:proofErr w:type="spellStart"/>
      <w:r>
        <w:rPr>
          <w:rFonts w:ascii="Georgia" w:hAnsi="Georgia"/>
          <w:sz w:val="24"/>
          <w:szCs w:val="24"/>
          <w:lang w:val="cs-CZ"/>
        </w:rPr>
        <w:t>review</w:t>
      </w:r>
      <w:proofErr w:type="spellEnd"/>
      <w:r>
        <w:rPr>
          <w:rFonts w:ascii="Georgia" w:hAnsi="Georgia"/>
          <w:sz w:val="24"/>
          <w:szCs w:val="24"/>
          <w:lang w:val="cs-CZ"/>
        </w:rPr>
        <w:t>.</w:t>
      </w:r>
    </w:p>
    <w:p w:rsidR="001E0D08" w:rsidRDefault="001E0D08" w:rsidP="001E0D08">
      <w:pPr>
        <w:jc w:val="both"/>
        <w:rPr>
          <w:rFonts w:ascii="Georgia" w:hAnsi="Georgia"/>
          <w:sz w:val="24"/>
          <w:szCs w:val="24"/>
          <w:lang w:val="cs-CZ"/>
        </w:rPr>
      </w:pPr>
    </w:p>
    <w:p w:rsidR="00B314C0" w:rsidRDefault="00B314C0"/>
    <w:sectPr w:rsidR="00B31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08"/>
    <w:rsid w:val="001E0D08"/>
    <w:rsid w:val="007A6EF1"/>
    <w:rsid w:val="008A32E6"/>
    <w:rsid w:val="00B31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9379"/>
  <w15:chartTrackingRefBased/>
  <w15:docId w15:val="{9DB9C037-72B3-4804-A4DF-70B69D87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D08"/>
    <w:pPr>
      <w:spacing w:line="25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18BC3-5412-41BA-96FE-05BF2AE2B08C}"/>
</file>

<file path=customXml/itemProps2.xml><?xml version="1.0" encoding="utf-8"?>
<ds:datastoreItem xmlns:ds="http://schemas.openxmlformats.org/officeDocument/2006/customXml" ds:itemID="{95497125-D806-45F0-86B6-4EC2BFEB2E67}"/>
</file>

<file path=customXml/itemProps3.xml><?xml version="1.0" encoding="utf-8"?>
<ds:datastoreItem xmlns:ds="http://schemas.openxmlformats.org/officeDocument/2006/customXml" ds:itemID="{B90934A5-13F0-45A1-947B-F84C37BFF7A3}"/>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1419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dc:creator>
  <cp:keywords/>
  <dc:description/>
  <cp:lastModifiedBy>MZV</cp:lastModifiedBy>
  <cp:revision>3</cp:revision>
  <dcterms:created xsi:type="dcterms:W3CDTF">2020-11-02T16:26:00Z</dcterms:created>
  <dcterms:modified xsi:type="dcterms:W3CDTF">2020-11-02T16:27:00Z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