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691200">
        <w:rPr>
          <w:rFonts w:ascii="Bookman Old Style" w:hAnsi="Bookman Old Style"/>
          <w:szCs w:val="28"/>
        </w:rPr>
        <w:t>36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:rsidR="00A70F3F" w:rsidRDefault="000A07B1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Estado de Libia</w:t>
      </w:r>
    </w:p>
    <w:p w:rsidR="000A07B1" w:rsidRPr="00F1256F" w:rsidRDefault="000A07B1" w:rsidP="001B2753">
      <w:pPr>
        <w:spacing w:line="240" w:lineRule="exact"/>
        <w:jc w:val="center"/>
        <w:rPr>
          <w:rFonts w:ascii="Bookman Old Style" w:hAnsi="Bookman Old Style"/>
          <w:b/>
          <w:sz w:val="28"/>
          <w:szCs w:val="28"/>
        </w:rPr>
      </w:pPr>
    </w:p>
    <w:p w:rsidR="00CF642F" w:rsidRPr="00F1256F" w:rsidRDefault="000A07B1" w:rsidP="001B2753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11</w:t>
      </w:r>
      <w:r w:rsidR="00A70F3F" w:rsidRPr="00F1256F">
        <w:rPr>
          <w:rFonts w:ascii="Bookman Old Style" w:hAnsi="Bookman Old Style"/>
          <w:b/>
          <w:sz w:val="28"/>
          <w:szCs w:val="28"/>
        </w:rPr>
        <w:t xml:space="preserve"> de </w:t>
      </w:r>
      <w:r>
        <w:rPr>
          <w:rFonts w:ascii="Bookman Old Style" w:hAnsi="Bookman Old Style"/>
          <w:b/>
          <w:sz w:val="28"/>
          <w:szCs w:val="28"/>
        </w:rPr>
        <w:t>noviembre</w:t>
      </w:r>
      <w:r w:rsidR="00887F03" w:rsidRPr="00F1256F">
        <w:rPr>
          <w:rFonts w:ascii="Bookman Old Style" w:hAnsi="Bookman Old Style"/>
          <w:b/>
          <w:sz w:val="28"/>
          <w:szCs w:val="28"/>
        </w:rPr>
        <w:t xml:space="preserve"> </w:t>
      </w:r>
      <w:r w:rsidR="00A70F3F" w:rsidRPr="00F1256F">
        <w:rPr>
          <w:rFonts w:ascii="Bookman Old Style" w:hAnsi="Bookman Old Style"/>
          <w:b/>
          <w:sz w:val="28"/>
          <w:szCs w:val="28"/>
        </w:rPr>
        <w:t>de 20</w:t>
      </w:r>
      <w:r>
        <w:rPr>
          <w:rFonts w:ascii="Bookman Old Style" w:hAnsi="Bookman Old Style"/>
          <w:b/>
          <w:sz w:val="28"/>
          <w:szCs w:val="28"/>
        </w:rPr>
        <w:t>20</w:t>
      </w:r>
      <w:r w:rsidR="00CF642F" w:rsidRPr="00F1256F">
        <w:rPr>
          <w:rFonts w:ascii="Bookman Old Style" w:hAnsi="Bookman Old Style"/>
          <w:b/>
          <w:sz w:val="28"/>
          <w:szCs w:val="28"/>
        </w:rPr>
        <w:t xml:space="preserve"> </w:t>
      </w:r>
    </w:p>
    <w:p w:rsidR="00674717" w:rsidRPr="00A93237" w:rsidRDefault="002B19E3" w:rsidP="001B2753">
      <w:pPr>
        <w:jc w:val="both"/>
        <w:rPr>
          <w:sz w:val="36"/>
          <w:szCs w:val="36"/>
        </w:rPr>
      </w:pPr>
      <w:r>
        <w:rPr>
          <w:sz w:val="36"/>
          <w:szCs w:val="36"/>
        </w:rPr>
        <w:t>Gracias, Presidenta</w:t>
      </w:r>
      <w:r w:rsidR="00674717" w:rsidRPr="00A93237">
        <w:rPr>
          <w:sz w:val="36"/>
          <w:szCs w:val="36"/>
        </w:rPr>
        <w:t>.</w:t>
      </w:r>
    </w:p>
    <w:p w:rsidR="00674717" w:rsidRPr="00A93237" w:rsidRDefault="00674717" w:rsidP="001B2753">
      <w:pPr>
        <w:jc w:val="both"/>
        <w:rPr>
          <w:sz w:val="36"/>
          <w:szCs w:val="36"/>
        </w:rPr>
      </w:pPr>
    </w:p>
    <w:p w:rsidR="00251F96" w:rsidRDefault="002B19E3" w:rsidP="001B275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Agradecemos </w:t>
      </w:r>
      <w:r w:rsidR="00251F96">
        <w:rPr>
          <w:sz w:val="36"/>
          <w:szCs w:val="36"/>
        </w:rPr>
        <w:t>la presentación de</w:t>
      </w:r>
      <w:r w:rsidR="008C0808">
        <w:rPr>
          <w:sz w:val="36"/>
          <w:szCs w:val="36"/>
        </w:rPr>
        <w:t>l</w:t>
      </w:r>
      <w:r w:rsidR="00941B3D">
        <w:rPr>
          <w:sz w:val="36"/>
          <w:szCs w:val="36"/>
        </w:rPr>
        <w:t xml:space="preserve"> informe nacional de la Delegación de Libia. </w:t>
      </w:r>
    </w:p>
    <w:p w:rsidR="00941B3D" w:rsidRDefault="00941B3D" w:rsidP="001B2753">
      <w:pPr>
        <w:jc w:val="both"/>
        <w:rPr>
          <w:sz w:val="36"/>
          <w:szCs w:val="36"/>
        </w:rPr>
      </w:pPr>
    </w:p>
    <w:p w:rsidR="00941B3D" w:rsidRPr="00941B3D" w:rsidRDefault="00941B3D" w:rsidP="00941B3D">
      <w:pPr>
        <w:jc w:val="both"/>
        <w:rPr>
          <w:sz w:val="36"/>
          <w:szCs w:val="36"/>
        </w:rPr>
      </w:pPr>
      <w:r w:rsidRPr="00941B3D">
        <w:rPr>
          <w:sz w:val="36"/>
          <w:szCs w:val="36"/>
        </w:rPr>
        <w:t xml:space="preserve">Recordamos que hasta </w:t>
      </w:r>
      <w:r w:rsidR="002B19E3">
        <w:rPr>
          <w:sz w:val="36"/>
          <w:szCs w:val="36"/>
        </w:rPr>
        <w:t xml:space="preserve">el año </w:t>
      </w:r>
      <w:r w:rsidRPr="00941B3D">
        <w:rPr>
          <w:sz w:val="36"/>
          <w:szCs w:val="36"/>
        </w:rPr>
        <w:t xml:space="preserve">2011, Libia contaba con la esperanza de vida y el PIB nominal per </w:t>
      </w:r>
      <w:r>
        <w:rPr>
          <w:sz w:val="36"/>
          <w:szCs w:val="36"/>
        </w:rPr>
        <w:t xml:space="preserve">cápita más elevado de la región, con una de las </w:t>
      </w:r>
      <w:r w:rsidRPr="00941B3D">
        <w:rPr>
          <w:sz w:val="36"/>
          <w:szCs w:val="36"/>
        </w:rPr>
        <w:t>mejores infraestructuras del África</w:t>
      </w:r>
      <w:r>
        <w:rPr>
          <w:sz w:val="36"/>
          <w:szCs w:val="36"/>
        </w:rPr>
        <w:t xml:space="preserve">, </w:t>
      </w:r>
      <w:r w:rsidR="002B19E3">
        <w:rPr>
          <w:sz w:val="36"/>
          <w:szCs w:val="36"/>
        </w:rPr>
        <w:t>hoy</w:t>
      </w:r>
      <w:r>
        <w:rPr>
          <w:sz w:val="36"/>
          <w:szCs w:val="36"/>
        </w:rPr>
        <w:t xml:space="preserve"> </w:t>
      </w:r>
      <w:r w:rsidR="00A41C0B">
        <w:rPr>
          <w:sz w:val="36"/>
          <w:szCs w:val="36"/>
        </w:rPr>
        <w:t>deteriorada</w:t>
      </w:r>
      <w:r w:rsidRPr="00941B3D">
        <w:rPr>
          <w:sz w:val="36"/>
          <w:szCs w:val="36"/>
        </w:rPr>
        <w:t>.</w:t>
      </w:r>
    </w:p>
    <w:p w:rsidR="00941B3D" w:rsidRPr="00941B3D" w:rsidRDefault="00941B3D" w:rsidP="00941B3D">
      <w:pPr>
        <w:jc w:val="both"/>
        <w:rPr>
          <w:sz w:val="36"/>
          <w:szCs w:val="36"/>
        </w:rPr>
      </w:pPr>
    </w:p>
    <w:p w:rsidR="00941B3D" w:rsidRPr="00941B3D" w:rsidRDefault="00941B3D" w:rsidP="00941B3D">
      <w:pPr>
        <w:jc w:val="both"/>
        <w:rPr>
          <w:sz w:val="36"/>
          <w:szCs w:val="36"/>
        </w:rPr>
      </w:pPr>
      <w:r w:rsidRPr="00941B3D">
        <w:rPr>
          <w:sz w:val="36"/>
          <w:szCs w:val="36"/>
        </w:rPr>
        <w:t xml:space="preserve">Desde un principio, Venezuela denunció las graves </w:t>
      </w:r>
      <w:bookmarkStart w:id="0" w:name="_GoBack"/>
      <w:bookmarkEnd w:id="0"/>
      <w:r w:rsidRPr="00941B3D">
        <w:rPr>
          <w:sz w:val="36"/>
          <w:szCs w:val="36"/>
        </w:rPr>
        <w:t xml:space="preserve">consecuencias de la agresión militar de las Potencias </w:t>
      </w:r>
      <w:r w:rsidR="00BE6407">
        <w:rPr>
          <w:sz w:val="36"/>
          <w:szCs w:val="36"/>
        </w:rPr>
        <w:t>a</w:t>
      </w:r>
      <w:r w:rsidRPr="00941B3D">
        <w:rPr>
          <w:sz w:val="36"/>
          <w:szCs w:val="36"/>
        </w:rPr>
        <w:t>l país para apropiarse de sus recursos, que cobró la vida de cientos de miles de personas, con resultados que siguen enlutando al pueblo libio.</w:t>
      </w:r>
    </w:p>
    <w:p w:rsidR="00941B3D" w:rsidRPr="00941B3D" w:rsidRDefault="00941B3D" w:rsidP="00941B3D">
      <w:pPr>
        <w:jc w:val="both"/>
        <w:rPr>
          <w:sz w:val="36"/>
          <w:szCs w:val="36"/>
        </w:rPr>
      </w:pPr>
    </w:p>
    <w:p w:rsidR="00941B3D" w:rsidRPr="00941B3D" w:rsidRDefault="007251DE" w:rsidP="00941B3D">
      <w:pPr>
        <w:jc w:val="both"/>
        <w:rPr>
          <w:sz w:val="36"/>
          <w:szCs w:val="36"/>
        </w:rPr>
      </w:pPr>
      <w:r>
        <w:rPr>
          <w:sz w:val="36"/>
          <w:szCs w:val="36"/>
        </w:rPr>
        <w:t>Hacemos votos por el r</w:t>
      </w:r>
      <w:r w:rsidR="00941B3D" w:rsidRPr="00941B3D">
        <w:rPr>
          <w:sz w:val="36"/>
          <w:szCs w:val="36"/>
        </w:rPr>
        <w:t>establecimiento de las condiciones que alla</w:t>
      </w:r>
      <w:r>
        <w:rPr>
          <w:sz w:val="36"/>
          <w:szCs w:val="36"/>
        </w:rPr>
        <w:t xml:space="preserve">nen el camino a la paz </w:t>
      </w:r>
      <w:r w:rsidR="00A41C0B">
        <w:rPr>
          <w:sz w:val="36"/>
          <w:szCs w:val="36"/>
        </w:rPr>
        <w:t xml:space="preserve">duradera </w:t>
      </w:r>
      <w:r>
        <w:rPr>
          <w:sz w:val="36"/>
          <w:szCs w:val="36"/>
        </w:rPr>
        <w:t xml:space="preserve">en Libia, con </w:t>
      </w:r>
      <w:r w:rsidR="00941B3D" w:rsidRPr="00941B3D">
        <w:rPr>
          <w:sz w:val="36"/>
          <w:szCs w:val="36"/>
        </w:rPr>
        <w:t>soluciones apegadas al derecho internacional para poner fin a la escalada de violencia. Deseamos ver nuevamente a Libia transitando hacia la unión de su pueblo.</w:t>
      </w:r>
    </w:p>
    <w:p w:rsidR="00941B3D" w:rsidRPr="00941B3D" w:rsidRDefault="00941B3D" w:rsidP="00941B3D">
      <w:pPr>
        <w:jc w:val="both"/>
        <w:rPr>
          <w:sz w:val="36"/>
          <w:szCs w:val="36"/>
        </w:rPr>
      </w:pPr>
    </w:p>
    <w:p w:rsidR="00941B3D" w:rsidRPr="00941B3D" w:rsidRDefault="00941B3D" w:rsidP="00941B3D">
      <w:pPr>
        <w:jc w:val="both"/>
        <w:rPr>
          <w:sz w:val="36"/>
          <w:szCs w:val="36"/>
        </w:rPr>
      </w:pPr>
      <w:r w:rsidRPr="00941B3D">
        <w:rPr>
          <w:sz w:val="36"/>
          <w:szCs w:val="36"/>
        </w:rPr>
        <w:t>La Comunidad de Naciones debe trabajar en estrecha colaboración con Libia, y aportar toda la asistencia humanitaria y cooperación que el país requiera.</w:t>
      </w:r>
    </w:p>
    <w:p w:rsidR="00941B3D" w:rsidRPr="00941B3D" w:rsidRDefault="00941B3D" w:rsidP="00941B3D">
      <w:pPr>
        <w:jc w:val="both"/>
        <w:rPr>
          <w:sz w:val="36"/>
          <w:szCs w:val="36"/>
        </w:rPr>
      </w:pPr>
    </w:p>
    <w:p w:rsidR="00AC7DAF" w:rsidRDefault="00941B3D" w:rsidP="00941B3D">
      <w:pPr>
        <w:jc w:val="both"/>
        <w:rPr>
          <w:sz w:val="36"/>
          <w:szCs w:val="36"/>
        </w:rPr>
      </w:pPr>
      <w:r w:rsidRPr="00941B3D">
        <w:rPr>
          <w:sz w:val="36"/>
          <w:szCs w:val="36"/>
        </w:rPr>
        <w:t>Muchas gracias.</w:t>
      </w:r>
    </w:p>
    <w:p w:rsidR="00A41C0B" w:rsidRPr="007A0131" w:rsidRDefault="00A41C0B" w:rsidP="007A0131">
      <w:pPr>
        <w:jc w:val="right"/>
        <w:rPr>
          <w:b/>
        </w:rPr>
      </w:pPr>
      <w:r w:rsidRPr="007A0131">
        <w:rPr>
          <w:b/>
        </w:rPr>
        <w:t>(</w:t>
      </w:r>
      <w:r w:rsidRPr="007A0131">
        <w:rPr>
          <w:b/>
          <w:i/>
        </w:rPr>
        <w:t>Cotéjese al pronunciarse</w:t>
      </w:r>
      <w:r w:rsidRPr="007A0131">
        <w:rPr>
          <w:b/>
        </w:rPr>
        <w:t>)</w:t>
      </w:r>
    </w:p>
    <w:sectPr w:rsidR="00A41C0B" w:rsidRPr="007A0131" w:rsidSect="0060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D5A" w:rsidRDefault="001D1D5A">
      <w:r>
        <w:separator/>
      </w:r>
    </w:p>
  </w:endnote>
  <w:endnote w:type="continuationSeparator" w:id="0">
    <w:p w:rsidR="001D1D5A" w:rsidRDefault="001D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D5A" w:rsidRDefault="001D1D5A">
      <w:r>
        <w:separator/>
      </w:r>
    </w:p>
  </w:footnote>
  <w:footnote w:type="continuationSeparator" w:id="0">
    <w:p w:rsidR="001D1D5A" w:rsidRDefault="001D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04"/>
      <w:gridCol w:w="6095"/>
      <w:gridCol w:w="2035"/>
    </w:tblGrid>
    <w:tr w:rsidR="00055A39" w:rsidRPr="000274C9" w:rsidTr="00EB1668">
      <w:trPr>
        <w:trHeight w:val="796"/>
        <w:jc w:val="center"/>
      </w:trPr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055A39" w:rsidRPr="000274C9" w:rsidRDefault="00BA33AD" w:rsidP="009C48F7">
          <w:pPr>
            <w:jc w:val="center"/>
          </w:pPr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494665" cy="494665"/>
                <wp:effectExtent l="0" t="0" r="635" b="635"/>
                <wp:docPr id="2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055A39" w:rsidRPr="00EB1668" w:rsidRDefault="00055A39" w:rsidP="009C48F7">
          <w:pPr>
            <w:jc w:val="center"/>
            <w:rPr>
              <w:b/>
              <w:sz w:val="20"/>
              <w:szCs w:val="20"/>
            </w:rPr>
          </w:pPr>
          <w:r w:rsidRPr="00EB1668">
            <w:rPr>
              <w:b/>
              <w:sz w:val="20"/>
              <w:szCs w:val="20"/>
            </w:rPr>
            <w:t>Misión Permanente de la República Bolivariana de Venezuela</w:t>
          </w:r>
        </w:p>
        <w:p w:rsidR="00055A39" w:rsidRPr="00EB1668" w:rsidRDefault="00055A39" w:rsidP="009C48F7">
          <w:pPr>
            <w:jc w:val="center"/>
            <w:rPr>
              <w:sz w:val="20"/>
              <w:szCs w:val="20"/>
            </w:rPr>
          </w:pPr>
          <w:r w:rsidRPr="00EB1668">
            <w:rPr>
              <w:sz w:val="20"/>
              <w:szCs w:val="20"/>
            </w:rPr>
            <w:t>ante la Oficina de las Naciones Unidas</w:t>
          </w:r>
        </w:p>
        <w:p w:rsidR="00055A39" w:rsidRPr="000274C9" w:rsidRDefault="00055A39" w:rsidP="009C48F7">
          <w:pPr>
            <w:jc w:val="center"/>
          </w:pPr>
          <w:r w:rsidRPr="00EB1668">
            <w:rPr>
              <w:sz w:val="20"/>
              <w:szCs w:val="20"/>
            </w:rPr>
            <w:t>y demás Organismos Internacionales en Ginebra</w:t>
          </w:r>
        </w:p>
      </w:tc>
      <w:tc>
        <w:tcPr>
          <w:tcW w:w="2035" w:type="dxa"/>
          <w:tcBorders>
            <w:top w:val="nil"/>
            <w:left w:val="nil"/>
            <w:bottom w:val="nil"/>
            <w:right w:val="nil"/>
          </w:tcBorders>
        </w:tcPr>
        <w:p w:rsidR="00055A39" w:rsidRPr="000274C9" w:rsidRDefault="00BA33AD" w:rsidP="009C48F7">
          <w:r w:rsidRPr="000274C9">
            <w:rPr>
              <w:noProof/>
              <w:lang w:val="es-VE" w:eastAsia="es-VE"/>
            </w:rPr>
            <w:drawing>
              <wp:inline distT="0" distB="0" distL="0" distR="0">
                <wp:extent cx="989330" cy="457200"/>
                <wp:effectExtent l="0" t="0" r="127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A39" w:rsidRDefault="00055A39" w:rsidP="009C48F7">
    <w:pPr>
      <w:pStyle w:val="Encabezado"/>
      <w:tabs>
        <w:tab w:val="clear" w:pos="4252"/>
        <w:tab w:val="clear" w:pos="8504"/>
        <w:tab w:val="left" w:pos="3984"/>
      </w:tabs>
    </w:pPr>
    <w:r>
      <w:tab/>
    </w:r>
  </w:p>
  <w:tbl>
    <w:tblPr>
      <w:tblW w:w="9141" w:type="dxa"/>
      <w:tblBorders>
        <w:top w:val="thinThickSmallGap" w:sz="24" w:space="0" w:color="auto"/>
      </w:tblBorders>
      <w:tblLayout w:type="fixed"/>
      <w:tblCellMar>
        <w:left w:w="69" w:type="dxa"/>
        <w:right w:w="69" w:type="dxa"/>
      </w:tblCellMar>
      <w:tblLook w:val="0000" w:firstRow="0" w:lastRow="0" w:firstColumn="0" w:lastColumn="0" w:noHBand="0" w:noVBand="0"/>
    </w:tblPr>
    <w:tblGrid>
      <w:gridCol w:w="1770"/>
      <w:gridCol w:w="442"/>
      <w:gridCol w:w="6929"/>
    </w:tblGrid>
    <w:tr w:rsidR="00055A39" w:rsidRPr="000274C9" w:rsidTr="009C48F7">
      <w:tc>
        <w:tcPr>
          <w:tcW w:w="1770" w:type="dxa"/>
        </w:tcPr>
        <w:p w:rsidR="00055A39" w:rsidRPr="000274C9" w:rsidRDefault="00055A39" w:rsidP="009C48F7"/>
      </w:tc>
      <w:tc>
        <w:tcPr>
          <w:tcW w:w="442" w:type="dxa"/>
        </w:tcPr>
        <w:p w:rsidR="00055A39" w:rsidRPr="000274C9" w:rsidRDefault="00055A39" w:rsidP="009C48F7">
          <w:pPr>
            <w:rPr>
              <w:b/>
              <w:bCs/>
              <w:noProof/>
            </w:rPr>
          </w:pPr>
        </w:p>
      </w:tc>
      <w:tc>
        <w:tcPr>
          <w:tcW w:w="6929" w:type="dxa"/>
          <w:vAlign w:val="center"/>
        </w:tcPr>
        <w:p w:rsidR="00055A39" w:rsidRPr="000274C9" w:rsidRDefault="00055A39" w:rsidP="009C48F7"/>
      </w:tc>
    </w:tr>
  </w:tbl>
  <w:p w:rsidR="00055A39" w:rsidRDefault="00055A39" w:rsidP="009C48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 w:rsidP="001E7D18">
    <w:pPr>
      <w:pStyle w:val="Encabezado"/>
      <w:framePr w:wrap="around" w:vAnchor="text" w:hAnchor="margin" w:xAlign="center" w:y="1"/>
      <w:rPr>
        <w:rStyle w:val="Nmerodepgina"/>
      </w:rPr>
    </w:pPr>
  </w:p>
  <w:p w:rsidR="00055A39" w:rsidRDefault="00BA33AD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B2F1A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>
          <wp:extent cx="6268085" cy="5073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A39" w:rsidRDefault="00055A39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:rsidR="00055A39" w:rsidRDefault="00055A39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:rsidR="00055A39" w:rsidRDefault="00055A39" w:rsidP="0058189C">
    <w:pPr>
      <w:jc w:val="center"/>
      <w:rPr>
        <w:b/>
        <w:sz w:val="16"/>
        <w:szCs w:val="16"/>
      </w:rPr>
    </w:pPr>
  </w:p>
  <w:p w:rsidR="00055A39" w:rsidRPr="00962A4C" w:rsidRDefault="00055A39" w:rsidP="0058189C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39" w:rsidRDefault="00055A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430C3"/>
    <w:rsid w:val="00052A16"/>
    <w:rsid w:val="000538CC"/>
    <w:rsid w:val="00054AB0"/>
    <w:rsid w:val="000554C7"/>
    <w:rsid w:val="00055A39"/>
    <w:rsid w:val="00055D50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B1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BDE"/>
    <w:rsid w:val="00144CCE"/>
    <w:rsid w:val="00144E00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3815"/>
    <w:rsid w:val="001A7A9E"/>
    <w:rsid w:val="001B2753"/>
    <w:rsid w:val="001B37FA"/>
    <w:rsid w:val="001B3AA6"/>
    <w:rsid w:val="001B768A"/>
    <w:rsid w:val="001C2C10"/>
    <w:rsid w:val="001C5490"/>
    <w:rsid w:val="001D1AB8"/>
    <w:rsid w:val="001D1D5A"/>
    <w:rsid w:val="001E3446"/>
    <w:rsid w:val="001E4986"/>
    <w:rsid w:val="001E7D18"/>
    <w:rsid w:val="001F0987"/>
    <w:rsid w:val="001F22A6"/>
    <w:rsid w:val="001F3D5F"/>
    <w:rsid w:val="001F788C"/>
    <w:rsid w:val="001F7CD5"/>
    <w:rsid w:val="00202CE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6E44"/>
    <w:rsid w:val="002720F2"/>
    <w:rsid w:val="00273359"/>
    <w:rsid w:val="002749D2"/>
    <w:rsid w:val="002751FD"/>
    <w:rsid w:val="00277A11"/>
    <w:rsid w:val="00281B9B"/>
    <w:rsid w:val="0028651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B19E3"/>
    <w:rsid w:val="002B26A1"/>
    <w:rsid w:val="002B3C96"/>
    <w:rsid w:val="002C5856"/>
    <w:rsid w:val="002C6212"/>
    <w:rsid w:val="002C765A"/>
    <w:rsid w:val="002C76B9"/>
    <w:rsid w:val="002D00C1"/>
    <w:rsid w:val="002D55FE"/>
    <w:rsid w:val="002D5A9A"/>
    <w:rsid w:val="002E079A"/>
    <w:rsid w:val="002E0958"/>
    <w:rsid w:val="002E4F0D"/>
    <w:rsid w:val="002E6BA2"/>
    <w:rsid w:val="002F00A2"/>
    <w:rsid w:val="002F04EF"/>
    <w:rsid w:val="002F11EF"/>
    <w:rsid w:val="002F587E"/>
    <w:rsid w:val="002F7F98"/>
    <w:rsid w:val="00300EFB"/>
    <w:rsid w:val="003104F9"/>
    <w:rsid w:val="003110A5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36C0"/>
    <w:rsid w:val="00353DAB"/>
    <w:rsid w:val="003656C7"/>
    <w:rsid w:val="0036731C"/>
    <w:rsid w:val="00370C96"/>
    <w:rsid w:val="00371788"/>
    <w:rsid w:val="00372BD5"/>
    <w:rsid w:val="00373057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26191"/>
    <w:rsid w:val="004324E9"/>
    <w:rsid w:val="00432759"/>
    <w:rsid w:val="00445B75"/>
    <w:rsid w:val="004477FF"/>
    <w:rsid w:val="00460A92"/>
    <w:rsid w:val="00462503"/>
    <w:rsid w:val="004633AD"/>
    <w:rsid w:val="00464E18"/>
    <w:rsid w:val="00470F9F"/>
    <w:rsid w:val="00476FBD"/>
    <w:rsid w:val="00480E09"/>
    <w:rsid w:val="0048415B"/>
    <w:rsid w:val="004867C8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3C2F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A0545"/>
    <w:rsid w:val="005A1C0A"/>
    <w:rsid w:val="005A205D"/>
    <w:rsid w:val="005A46D4"/>
    <w:rsid w:val="005A5FB0"/>
    <w:rsid w:val="005A7D93"/>
    <w:rsid w:val="005C0EDC"/>
    <w:rsid w:val="005C29BC"/>
    <w:rsid w:val="005C52AF"/>
    <w:rsid w:val="005C70A1"/>
    <w:rsid w:val="005D068A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200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12415"/>
    <w:rsid w:val="00714A8D"/>
    <w:rsid w:val="00717B64"/>
    <w:rsid w:val="00723AB1"/>
    <w:rsid w:val="00723C7F"/>
    <w:rsid w:val="007251DE"/>
    <w:rsid w:val="00725A00"/>
    <w:rsid w:val="00726BC1"/>
    <w:rsid w:val="007273DF"/>
    <w:rsid w:val="00731FF5"/>
    <w:rsid w:val="00734DC3"/>
    <w:rsid w:val="0073653D"/>
    <w:rsid w:val="00736782"/>
    <w:rsid w:val="00737A10"/>
    <w:rsid w:val="00737A1B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0131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D135B"/>
    <w:rsid w:val="007D16D9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10C8"/>
    <w:rsid w:val="00835A2E"/>
    <w:rsid w:val="00836A84"/>
    <w:rsid w:val="00841AAE"/>
    <w:rsid w:val="00843E69"/>
    <w:rsid w:val="008446A9"/>
    <w:rsid w:val="00846B81"/>
    <w:rsid w:val="008558F2"/>
    <w:rsid w:val="00862077"/>
    <w:rsid w:val="00863E22"/>
    <w:rsid w:val="00865183"/>
    <w:rsid w:val="00866DCA"/>
    <w:rsid w:val="00872190"/>
    <w:rsid w:val="00873D23"/>
    <w:rsid w:val="008756C5"/>
    <w:rsid w:val="008821DC"/>
    <w:rsid w:val="00887F03"/>
    <w:rsid w:val="00890EF5"/>
    <w:rsid w:val="00890F32"/>
    <w:rsid w:val="008912BA"/>
    <w:rsid w:val="008929E7"/>
    <w:rsid w:val="008979B2"/>
    <w:rsid w:val="008A0D7B"/>
    <w:rsid w:val="008A48AF"/>
    <w:rsid w:val="008B00E3"/>
    <w:rsid w:val="008B12B8"/>
    <w:rsid w:val="008B17D1"/>
    <w:rsid w:val="008B2904"/>
    <w:rsid w:val="008B47B2"/>
    <w:rsid w:val="008B7553"/>
    <w:rsid w:val="008C0808"/>
    <w:rsid w:val="008C1107"/>
    <w:rsid w:val="008C308E"/>
    <w:rsid w:val="008C5346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304D"/>
    <w:rsid w:val="008F6F72"/>
    <w:rsid w:val="008F6FD5"/>
    <w:rsid w:val="00900C31"/>
    <w:rsid w:val="00903D7E"/>
    <w:rsid w:val="009047EA"/>
    <w:rsid w:val="00907D93"/>
    <w:rsid w:val="009123F0"/>
    <w:rsid w:val="009175DA"/>
    <w:rsid w:val="00921FF4"/>
    <w:rsid w:val="00923581"/>
    <w:rsid w:val="009313B9"/>
    <w:rsid w:val="00932C1C"/>
    <w:rsid w:val="00935B81"/>
    <w:rsid w:val="00941B3D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10FD7"/>
    <w:rsid w:val="00A12411"/>
    <w:rsid w:val="00A13896"/>
    <w:rsid w:val="00A13DEE"/>
    <w:rsid w:val="00A13FE0"/>
    <w:rsid w:val="00A145BC"/>
    <w:rsid w:val="00A2059B"/>
    <w:rsid w:val="00A2327C"/>
    <w:rsid w:val="00A30313"/>
    <w:rsid w:val="00A316DC"/>
    <w:rsid w:val="00A34B2C"/>
    <w:rsid w:val="00A34FDF"/>
    <w:rsid w:val="00A35750"/>
    <w:rsid w:val="00A3667A"/>
    <w:rsid w:val="00A41C0B"/>
    <w:rsid w:val="00A459D8"/>
    <w:rsid w:val="00A45A35"/>
    <w:rsid w:val="00A55A61"/>
    <w:rsid w:val="00A61017"/>
    <w:rsid w:val="00A6231F"/>
    <w:rsid w:val="00A655A0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B03095"/>
    <w:rsid w:val="00B1262D"/>
    <w:rsid w:val="00B12EC3"/>
    <w:rsid w:val="00B12F66"/>
    <w:rsid w:val="00B154EE"/>
    <w:rsid w:val="00B25A63"/>
    <w:rsid w:val="00B27849"/>
    <w:rsid w:val="00B31C91"/>
    <w:rsid w:val="00B32AE7"/>
    <w:rsid w:val="00B34B7A"/>
    <w:rsid w:val="00B352AC"/>
    <w:rsid w:val="00B42167"/>
    <w:rsid w:val="00B43691"/>
    <w:rsid w:val="00B4626D"/>
    <w:rsid w:val="00B5151F"/>
    <w:rsid w:val="00B52EB6"/>
    <w:rsid w:val="00B5362E"/>
    <w:rsid w:val="00B53ADD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B02"/>
    <w:rsid w:val="00BA26CD"/>
    <w:rsid w:val="00BA33AD"/>
    <w:rsid w:val="00BA5341"/>
    <w:rsid w:val="00BA5869"/>
    <w:rsid w:val="00BA5A41"/>
    <w:rsid w:val="00BA5E06"/>
    <w:rsid w:val="00BB015A"/>
    <w:rsid w:val="00BB1250"/>
    <w:rsid w:val="00BB1434"/>
    <w:rsid w:val="00BB3DD9"/>
    <w:rsid w:val="00BB53A8"/>
    <w:rsid w:val="00BB727F"/>
    <w:rsid w:val="00BC0D7C"/>
    <w:rsid w:val="00BC0F30"/>
    <w:rsid w:val="00BC4B1F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6407"/>
    <w:rsid w:val="00BF5ED4"/>
    <w:rsid w:val="00BF68D4"/>
    <w:rsid w:val="00C01E08"/>
    <w:rsid w:val="00C05888"/>
    <w:rsid w:val="00C1045E"/>
    <w:rsid w:val="00C111DA"/>
    <w:rsid w:val="00C12948"/>
    <w:rsid w:val="00C150CF"/>
    <w:rsid w:val="00C17B74"/>
    <w:rsid w:val="00C2261E"/>
    <w:rsid w:val="00C2334B"/>
    <w:rsid w:val="00C233B6"/>
    <w:rsid w:val="00C2580C"/>
    <w:rsid w:val="00C26869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6EB2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93937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642F"/>
    <w:rsid w:val="00CF65BA"/>
    <w:rsid w:val="00CF6C49"/>
    <w:rsid w:val="00D00BA7"/>
    <w:rsid w:val="00D0158E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A20"/>
    <w:rsid w:val="00DA2DF2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42D3"/>
    <w:rsid w:val="00DF52CE"/>
    <w:rsid w:val="00DF5EA3"/>
    <w:rsid w:val="00E02003"/>
    <w:rsid w:val="00E024E8"/>
    <w:rsid w:val="00E02C96"/>
    <w:rsid w:val="00E11594"/>
    <w:rsid w:val="00E11C4E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62539"/>
    <w:rsid w:val="00E654ED"/>
    <w:rsid w:val="00E65C27"/>
    <w:rsid w:val="00E661C5"/>
    <w:rsid w:val="00E66247"/>
    <w:rsid w:val="00E67235"/>
    <w:rsid w:val="00E7026D"/>
    <w:rsid w:val="00E70FA0"/>
    <w:rsid w:val="00E774FD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D0019"/>
    <w:rsid w:val="00EE0105"/>
    <w:rsid w:val="00EE0DD0"/>
    <w:rsid w:val="00EE27B4"/>
    <w:rsid w:val="00EF42A1"/>
    <w:rsid w:val="00EF5CC1"/>
    <w:rsid w:val="00EF71B1"/>
    <w:rsid w:val="00EF7595"/>
    <w:rsid w:val="00F01DBE"/>
    <w:rsid w:val="00F04419"/>
    <w:rsid w:val="00F060BF"/>
    <w:rsid w:val="00F10070"/>
    <w:rsid w:val="00F1256F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808C9"/>
    <w:rsid w:val="00F80E76"/>
    <w:rsid w:val="00F828F2"/>
    <w:rsid w:val="00F87038"/>
    <w:rsid w:val="00F914B6"/>
    <w:rsid w:val="00F923FF"/>
    <w:rsid w:val="00FA0D06"/>
    <w:rsid w:val="00FA220B"/>
    <w:rsid w:val="00FA6796"/>
    <w:rsid w:val="00FA733C"/>
    <w:rsid w:val="00FB5E84"/>
    <w:rsid w:val="00FB601A"/>
    <w:rsid w:val="00FB6D7C"/>
    <w:rsid w:val="00FC1216"/>
    <w:rsid w:val="00FC5043"/>
    <w:rsid w:val="00FC5F79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6FD19-492E-4C3C-AA56-57A8390A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66542-E56F-46EA-83A2-41474C1EB1B3}"/>
</file>

<file path=customXml/itemProps2.xml><?xml version="1.0" encoding="utf-8"?>
<ds:datastoreItem xmlns:ds="http://schemas.openxmlformats.org/officeDocument/2006/customXml" ds:itemID="{27D6B883-974C-4D09-8146-539E57B2EB4F}"/>
</file>

<file path=customXml/itemProps3.xml><?xml version="1.0" encoding="utf-8"?>
<ds:datastoreItem xmlns:ds="http://schemas.openxmlformats.org/officeDocument/2006/customXml" ds:itemID="{D40914E4-26AB-47E7-8884-17F255691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Félix Peña Ramos</cp:lastModifiedBy>
  <cp:revision>5</cp:revision>
  <cp:lastPrinted>2020-11-04T16:10:00Z</cp:lastPrinted>
  <dcterms:created xsi:type="dcterms:W3CDTF">2020-11-04T18:24:00Z</dcterms:created>
  <dcterms:modified xsi:type="dcterms:W3CDTF">2020-11-05T12:52:00Z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