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D9085F" w14:textId="7DA7E198" w:rsidR="00397AE3" w:rsidRDefault="00397AE3" w:rsidP="00D15423">
      <w:pPr>
        <w:pStyle w:val="Cuerpo"/>
        <w:spacing w:line="240" w:lineRule="auto"/>
        <w:rPr>
          <w:rStyle w:val="Ninguno"/>
          <w:rFonts w:asciiTheme="minorHAnsi" w:hAnsiTheme="minorHAnsi"/>
          <w:sz w:val="2"/>
          <w:szCs w:val="2"/>
          <w:lang w:val="es-ES_tradnl"/>
        </w:rPr>
      </w:pPr>
    </w:p>
    <w:p w14:paraId="2C868193" w14:textId="3F25B9E5" w:rsidR="00710629" w:rsidRDefault="00710629" w:rsidP="00D15423">
      <w:pPr>
        <w:pStyle w:val="Cuerpo"/>
        <w:spacing w:line="240" w:lineRule="auto"/>
        <w:rPr>
          <w:rStyle w:val="Ninguno"/>
          <w:rFonts w:asciiTheme="minorHAnsi" w:hAnsiTheme="minorHAnsi"/>
          <w:sz w:val="2"/>
          <w:szCs w:val="2"/>
          <w:lang w:val="es-ES_tradnl"/>
        </w:rPr>
      </w:pPr>
    </w:p>
    <w:p w14:paraId="255969B3" w14:textId="77777777" w:rsidR="00710629" w:rsidRDefault="00710629" w:rsidP="00D15423">
      <w:pPr>
        <w:pStyle w:val="Cuerpo"/>
        <w:spacing w:line="240" w:lineRule="auto"/>
        <w:rPr>
          <w:rStyle w:val="Ninguno"/>
          <w:rFonts w:asciiTheme="minorHAnsi" w:hAnsiTheme="minorHAnsi"/>
          <w:sz w:val="2"/>
          <w:szCs w:val="2"/>
          <w:lang w:val="es-ES_tradnl"/>
        </w:rPr>
      </w:pPr>
    </w:p>
    <w:p w14:paraId="6E1ECAC6" w14:textId="4129002A" w:rsidR="00243899" w:rsidRDefault="00243899" w:rsidP="00710629">
      <w:pPr>
        <w:pStyle w:val="Cuerpo"/>
        <w:spacing w:line="240" w:lineRule="auto"/>
        <w:jc w:val="center"/>
        <w:rPr>
          <w:rStyle w:val="Ninguno"/>
          <w:rFonts w:asciiTheme="minorHAnsi" w:hAnsiTheme="minorHAnsi"/>
          <w:sz w:val="2"/>
          <w:szCs w:val="2"/>
          <w:lang w:val="es-ES_tradnl"/>
        </w:rPr>
      </w:pPr>
    </w:p>
    <w:p w14:paraId="1A9EB056" w14:textId="7472F3F5" w:rsidR="00710629" w:rsidRPr="00710629" w:rsidRDefault="00710629" w:rsidP="00710629">
      <w:pPr>
        <w:spacing w:line="360" w:lineRule="auto"/>
        <w:jc w:val="center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629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Intervención</w:t>
      </w:r>
    </w:p>
    <w:p w14:paraId="26D17F0C" w14:textId="7905E181" w:rsidR="00710629" w:rsidRPr="00710629" w:rsidRDefault="00710629" w:rsidP="00710629">
      <w:pPr>
        <w:spacing w:line="360" w:lineRule="auto"/>
        <w:jc w:val="center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629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Señora Karla Cueva</w:t>
      </w:r>
    </w:p>
    <w:p w14:paraId="4BE34127" w14:textId="7F68D96F" w:rsidR="00710629" w:rsidRDefault="00710629" w:rsidP="00710629">
      <w:pPr>
        <w:spacing w:line="360" w:lineRule="auto"/>
        <w:jc w:val="center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629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Secretar</w:t>
      </w:r>
      <w:r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ia de Derechos Humanos</w:t>
      </w:r>
    </w:p>
    <w:p w14:paraId="746A7CEB" w14:textId="77777777" w:rsidR="00710629" w:rsidRPr="00710629" w:rsidRDefault="00710629" w:rsidP="00710629">
      <w:pPr>
        <w:spacing w:line="360" w:lineRule="auto"/>
        <w:jc w:val="center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B958B" w14:textId="2232472C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629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Señora Presidenta</w:t>
      </w:r>
    </w:p>
    <w:p w14:paraId="41A4B898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La Secretaría de Derechos Humanos rectora la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Politica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Pública y Plan Nacional de Acción en Derechos Humanos. Mediante su  creación  en 2018 se han redoblado esfuerzos para avanzar en la implementación de la Política. </w:t>
      </w:r>
    </w:p>
    <w:p w14:paraId="674A7F2A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2FFD4B9F" w14:textId="77777777" w:rsidR="00710629" w:rsidRPr="00710629" w:rsidRDefault="00710629" w:rsidP="0071062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Para impulsarla, 53 instituciones son asesoradas y acompañadas, y se han creado para medir sus avances </w:t>
      </w:r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 xml:space="preserve">: el Sistema de </w:t>
      </w:r>
      <w:proofErr w:type="spellStart"/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>vinculación</w:t>
      </w:r>
      <w:proofErr w:type="spellEnd"/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 xml:space="preserve"> de </w:t>
      </w:r>
      <w:proofErr w:type="spellStart"/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>Política</w:t>
      </w:r>
      <w:proofErr w:type="spellEnd"/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 xml:space="preserve"> </w:t>
      </w:r>
      <w:proofErr w:type="spellStart"/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>Pública</w:t>
      </w:r>
      <w:proofErr w:type="spellEnd"/>
      <w:r w:rsidRPr="00710629"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  <w:t xml:space="preserve"> con los Objetivos de Desarrollo Sostenible; el Sistema Derechos Humanos en Cifras; El Sistema de Monitoreo de Recomendaciones de Honduras SIMOREH.;  Observatorio de Derechos Humanos y; la Plataforma de Aprendizaje Virtual en Derechos Humanos; </w:t>
      </w:r>
    </w:p>
    <w:p w14:paraId="234AD2AD" w14:textId="77777777" w:rsidR="00710629" w:rsidRPr="00710629" w:rsidRDefault="00710629" w:rsidP="0071062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</w:pPr>
    </w:p>
    <w:p w14:paraId="08810E5E" w14:textId="77777777" w:rsidR="00710629" w:rsidRPr="00033CFD" w:rsidRDefault="00710629" w:rsidP="0071062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</w:rPr>
        <w:t>A partir de 2020 se avanza en incorporar el enfoque de derechos humanos en el sistema de planificación nacional;</w:t>
      </w:r>
    </w:p>
    <w:p w14:paraId="5A10E59E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5545C473" w14:textId="77777777" w:rsidR="00710629" w:rsidRPr="00033CFD" w:rsidRDefault="00710629" w:rsidP="007106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  <w:lang w:eastAsia="es-ES_tradnl"/>
        </w:rPr>
      </w:pPr>
      <w:r w:rsidRPr="00033CFD">
        <w:rPr>
          <w:rFonts w:ascii="Cambria" w:eastAsia="Times New Roman" w:hAnsi="Cambria" w:cs="Arial"/>
          <w:color w:val="000000" w:themeColor="text1"/>
          <w:sz w:val="18"/>
          <w:szCs w:val="18"/>
          <w:lang w:eastAsia="es-ES_tradnl"/>
        </w:rPr>
        <w:t>Se han firmado seis convenios con organizaciones de sociedad civil para el impulso de la Política;</w:t>
      </w:r>
    </w:p>
    <w:p w14:paraId="708E58C0" w14:textId="77777777" w:rsidR="00710629" w:rsidRPr="00710629" w:rsidRDefault="00710629" w:rsidP="0071062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  <w:lang w:val="es-ES" w:eastAsia="es-ES_tradnl"/>
        </w:rPr>
      </w:pPr>
    </w:p>
    <w:p w14:paraId="1FEFA9F3" w14:textId="77777777" w:rsidR="00710629" w:rsidRPr="00033CFD" w:rsidRDefault="00710629" w:rsidP="00710629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</w:rPr>
        <w:t xml:space="preserve">Mediante un espacio multiactor se exploran desde 2018 las condiciones para el diseño de un Plan de Acción Nacional sobre Empresas y Derechos Humanos; </w:t>
      </w:r>
      <w:r w:rsidRPr="00033CFD">
        <w:rPr>
          <w:rFonts w:ascii="Cambria" w:eastAsia="Times New Roman" w:hAnsi="Cambria" w:cs="Arial"/>
          <w:color w:val="000000" w:themeColor="text1"/>
          <w:sz w:val="18"/>
          <w:szCs w:val="18"/>
          <w:lang w:eastAsia="es-ES_tradnl"/>
        </w:rPr>
        <w:t xml:space="preserve">Se ha capacitado sobre los Principios Rectores </w:t>
      </w:r>
      <w:r w:rsidRPr="00033CFD">
        <w:rPr>
          <w:rFonts w:ascii="Cambria" w:hAnsi="Cambria" w:cs="Arial"/>
          <w:color w:val="000000" w:themeColor="text1"/>
          <w:sz w:val="18"/>
          <w:szCs w:val="18"/>
        </w:rPr>
        <w:t>a 685 personas de todos los sectores involucrados. OACNUDH y el Instituto Danés de Derechos Humanos han acompañado técnicamente el proceso.</w:t>
      </w:r>
    </w:p>
    <w:p w14:paraId="48578DD8" w14:textId="77777777" w:rsidR="00710629" w:rsidRPr="00033CFD" w:rsidRDefault="00710629" w:rsidP="00710629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Cambria" w:hAnsi="Cambria" w:cs="Arial"/>
          <w:b/>
          <w:color w:val="000000" w:themeColor="text1"/>
          <w:sz w:val="18"/>
          <w:szCs w:val="18"/>
        </w:rPr>
      </w:pPr>
      <w:r w:rsidRPr="00033CFD">
        <w:rPr>
          <w:rFonts w:ascii="Cambria" w:eastAsia="Times New Roman" w:hAnsi="Cambria" w:cs="Arial"/>
          <w:color w:val="000000" w:themeColor="text1"/>
          <w:sz w:val="18"/>
          <w:szCs w:val="18"/>
          <w:lang w:eastAsia="es-ES_tradnl"/>
        </w:rPr>
        <w:t xml:space="preserve">El  Consejo Hondureño de la Empresa Privada COHEP aprobó su Política de Empresas y Derechos Humanos y la Asociación Nacional de Industriales ANDI, su Plan de Acción Nacional de Industria y Derechos Humanos. </w:t>
      </w:r>
    </w:p>
    <w:p w14:paraId="61E964A5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La Dirección de Análisis de Conflictos en la SEDH, ha contribuido a prevenir 33 conflictos sociales, instalado 17 mesas técnicas y creado el Sistema de Alerta Temprana de Prevención de Conflictos Sociales (SAT) junto a la Secretaría de Coordinación General de Gobierno; Con apoyo de PNUD se estableció la Sala de Situación Honduras COVID-19.</w:t>
      </w:r>
    </w:p>
    <w:p w14:paraId="51C6EB3A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573AEF61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  <w:highlight w:val="yellow"/>
          <w:lang w:val="es-ES"/>
        </w:rPr>
      </w:pPr>
      <w:r w:rsidRPr="00710629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Señora Presidenta </w:t>
      </w:r>
    </w:p>
    <w:p w14:paraId="0AFE37E1" w14:textId="77777777" w:rsidR="00710629" w:rsidRPr="00C92CF3" w:rsidRDefault="00710629" w:rsidP="00710629">
      <w:pPr>
        <w:spacing w:after="200"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La implementación de la Ley de Protección para las y los Defensores de Derechos Humanos, Periodistas, Comunicadores Sociales y Operadores de Justicia y su Reglamento es una de las prioridades del Estado. </w:t>
      </w:r>
      <w:r>
        <w:rPr>
          <w:rFonts w:ascii="Cambria" w:hAnsi="Cambria" w:cs="Arial"/>
          <w:color w:val="000000" w:themeColor="text1"/>
          <w:sz w:val="18"/>
          <w:szCs w:val="18"/>
        </w:rPr>
        <w:t>P</w:t>
      </w:r>
      <w:r w:rsidRPr="00C92CF3">
        <w:rPr>
          <w:rFonts w:ascii="Cambria" w:hAnsi="Cambria" w:cs="Arial"/>
          <w:color w:val="000000" w:themeColor="text1"/>
          <w:sz w:val="18"/>
          <w:szCs w:val="18"/>
        </w:rPr>
        <w:t xml:space="preserve">odemos </w:t>
      </w:r>
      <w:proofErr w:type="spellStart"/>
      <w:r w:rsidRPr="00C92CF3">
        <w:rPr>
          <w:rFonts w:ascii="Cambria" w:hAnsi="Cambria" w:cs="Arial"/>
          <w:color w:val="000000" w:themeColor="text1"/>
          <w:sz w:val="18"/>
          <w:szCs w:val="18"/>
        </w:rPr>
        <w:t>informar</w:t>
      </w:r>
      <w:proofErr w:type="spellEnd"/>
      <w:r w:rsidRPr="00C92CF3">
        <w:rPr>
          <w:rFonts w:ascii="Cambria" w:hAnsi="Cambria" w:cs="Arial"/>
          <w:color w:val="000000" w:themeColor="text1"/>
          <w:sz w:val="18"/>
          <w:szCs w:val="18"/>
        </w:rPr>
        <w:t xml:space="preserve"> que:</w:t>
      </w:r>
    </w:p>
    <w:p w14:paraId="55B26BD5" w14:textId="77777777" w:rsidR="00710629" w:rsidRPr="00C92CF3" w:rsidRDefault="00710629" w:rsidP="00710629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Cambria" w:hAnsi="Cambria" w:cs="Calibri"/>
          <w:color w:val="000000" w:themeColor="text1"/>
          <w:sz w:val="18"/>
          <w:szCs w:val="18"/>
        </w:rPr>
      </w:pPr>
      <w:r w:rsidRPr="00C92CF3">
        <w:rPr>
          <w:rFonts w:ascii="Cambria" w:hAnsi="Cambria" w:cs="Calibri"/>
          <w:color w:val="000000" w:themeColor="text1"/>
          <w:sz w:val="18"/>
          <w:szCs w:val="18"/>
        </w:rPr>
        <w:t>El presupuesto del Mecanismo de Protección en la SEDH  se ha incrementado en un 355% entre 2016-2020.</w:t>
      </w:r>
    </w:p>
    <w:p w14:paraId="38DFB3F4" w14:textId="77777777" w:rsidR="00710629" w:rsidRPr="00C92CF3" w:rsidRDefault="00710629" w:rsidP="00710629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Cambria" w:hAnsi="Cambria" w:cs="Calibri"/>
          <w:color w:val="000000" w:themeColor="text1"/>
          <w:sz w:val="18"/>
          <w:szCs w:val="18"/>
        </w:rPr>
      </w:pPr>
      <w:r w:rsidRPr="00C92CF3">
        <w:rPr>
          <w:rFonts w:ascii="Cambria" w:hAnsi="Cambria" w:cs="Calibri"/>
          <w:color w:val="000000" w:themeColor="text1"/>
          <w:sz w:val="18"/>
          <w:szCs w:val="18"/>
        </w:rPr>
        <w:t xml:space="preserve">A la fecha se encuentran activas 197 medidas de protección, de las cuales 122 son individuales y 75 colectivas. </w:t>
      </w:r>
    </w:p>
    <w:p w14:paraId="79076EDB" w14:textId="77777777" w:rsidR="00710629" w:rsidRPr="00C92CF3" w:rsidRDefault="00710629" w:rsidP="0071062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</w:pP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 xml:space="preserve">Se han elaborado de manera participativa  </w:t>
      </w:r>
      <w:r w:rsidRPr="00C92CF3">
        <w:rPr>
          <w:rFonts w:ascii="Cambria" w:hAnsi="Cambria" w:cs="Calibri"/>
          <w:color w:val="000000" w:themeColor="text1"/>
          <w:sz w:val="18"/>
          <w:szCs w:val="18"/>
        </w:rPr>
        <w:t xml:space="preserve">siete diagnósticos de Contexto y cuatro Propuestas de Prevención </w:t>
      </w: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 xml:space="preserve">desde la Unidad de Prevención y Análisis de Contexto del Mecanismo. </w:t>
      </w:r>
    </w:p>
    <w:p w14:paraId="2D34B1E2" w14:textId="77777777" w:rsidR="00710629" w:rsidRPr="00C92CF3" w:rsidRDefault="00710629" w:rsidP="0071062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</w:pP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>De destaca el compañamiento técnico del OACNUDH para im</w:t>
      </w:r>
      <w:r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>p</w:t>
      </w: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 xml:space="preserve">ulsar,de manera participativa, una política integral de protección a defensores de derechos humanos; </w:t>
      </w:r>
    </w:p>
    <w:p w14:paraId="5998FB59" w14:textId="77777777" w:rsidR="00710629" w:rsidRDefault="00710629" w:rsidP="00710629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</w:pP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>En el marco del COVID-19  se ha implementado  la Plataforma de atención en línea  para la</w:t>
      </w:r>
      <w:r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>s</w:t>
      </w: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 xml:space="preserve"> solicitud</w:t>
      </w:r>
      <w:r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>es</w:t>
      </w:r>
      <w:r w:rsidRPr="00C92CF3"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 xml:space="preserve"> de protección</w:t>
      </w:r>
      <w:r>
        <w:rPr>
          <w:rFonts w:ascii="Cambria" w:eastAsia="Times New Roman" w:hAnsi="Cambria" w:cs="Calibri"/>
          <w:color w:val="000000" w:themeColor="text1"/>
          <w:sz w:val="18"/>
          <w:szCs w:val="18"/>
          <w:lang w:eastAsia="es-ES_tradnl"/>
        </w:rPr>
        <w:t>;</w:t>
      </w:r>
    </w:p>
    <w:p w14:paraId="5CEF73C6" w14:textId="77777777" w:rsidR="00710629" w:rsidRPr="00710629" w:rsidRDefault="00710629" w:rsidP="0071062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Calibri"/>
          <w:color w:val="000000" w:themeColor="text1"/>
          <w:sz w:val="18"/>
          <w:szCs w:val="18"/>
          <w:lang w:val="es-ES" w:eastAsia="es-ES_tradnl"/>
        </w:rPr>
      </w:pPr>
      <w:r w:rsidRPr="00710629">
        <w:rPr>
          <w:rFonts w:ascii="Cambria" w:eastAsia="Times New Roman" w:hAnsi="Cambria" w:cs="Calibri"/>
          <w:color w:val="000000" w:themeColor="text1"/>
          <w:sz w:val="18"/>
          <w:szCs w:val="18"/>
          <w:lang w:val="es-ES" w:eastAsia="es-ES_tradnl"/>
        </w:rPr>
        <w:lastRenderedPageBreak/>
        <w:t xml:space="preserve">Los esfuerzos del Sistema Nacional de Protección conforme la Ley han permitido que se haya protegido, a la fecha, la integridad  de aproximadamente 1000 personas. </w:t>
      </w:r>
    </w:p>
    <w:p w14:paraId="69396917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</w:rPr>
        <w:t>Señora Presidenta</w:t>
      </w:r>
    </w:p>
    <w:p w14:paraId="5A81825A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ES"/>
        </w:rPr>
      </w:pPr>
    </w:p>
    <w:p w14:paraId="35729F39" w14:textId="77777777" w:rsidR="00710629" w:rsidRPr="00710629" w:rsidRDefault="00710629" w:rsidP="00710629">
      <w:pPr>
        <w:spacing w:after="16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En 2015 se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aprobo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́ la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Política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Pública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contra el Racismo y la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Discriminación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Racial para el Desarrollo Integral de los PIAH y está pendiente la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aprobacion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 del Plan de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Acción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por la SEDIS y el Gabinete de Desarrollo e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Integración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Social.  </w:t>
      </w:r>
    </w:p>
    <w:p w14:paraId="09531019" w14:textId="77777777" w:rsidR="00710629" w:rsidRPr="00710629" w:rsidRDefault="00710629" w:rsidP="00710629">
      <w:pPr>
        <w:spacing w:after="16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La Secretaría de Derechos Humanos brinda acompañamiento técnico a la Secretaría de Energía en el proceso de construcción de la Guía de Relacionamiento Comunitario Anticipado con los Pueblos Indígenas y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Afrohondureños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.</w:t>
      </w:r>
    </w:p>
    <w:p w14:paraId="529D4002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En consonancia al ODS 5, el porcentaje de cumplimiento de marcos legales para promover, hacer cumplir y monitorear la igualdad y la no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discriminación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por </w:t>
      </w:r>
      <w:proofErr w:type="spellStart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razón</w:t>
      </w:r>
      <w:proofErr w:type="spellEnd"/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 de sexo, ha mejorado en el quinquenio, al pasar de 75% a 80%.</w:t>
      </w:r>
      <w:r w:rsidRPr="00710629">
        <w:rPr>
          <w:rFonts w:ascii="Cambria" w:hAnsi="Cambria" w:cs="Arial"/>
          <w:color w:val="000000" w:themeColor="text1"/>
          <w:sz w:val="18"/>
          <w:szCs w:val="18"/>
          <w:highlight w:val="yellow"/>
          <w:lang w:val="es-ES"/>
        </w:rPr>
        <w:t xml:space="preserve"> </w:t>
      </w:r>
    </w:p>
    <w:p w14:paraId="75AD7E04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1BC851DF" w14:textId="77777777" w:rsidR="00710629" w:rsidRPr="00710629" w:rsidRDefault="00710629" w:rsidP="00710629">
      <w:pPr>
        <w:spacing w:after="20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Para contribuir a prevenir la discriminación y estigma contra personas LGTBI compartimos, entre otras, las siguientes acciones:</w:t>
      </w:r>
    </w:p>
    <w:p w14:paraId="6EF99992" w14:textId="77777777" w:rsidR="00710629" w:rsidRPr="00033CFD" w:rsidRDefault="00710629" w:rsidP="0071062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</w:rPr>
        <w:t>Convenios de cooperación entre la SEDH y la SEDIS con tres Organizaciones de Sociedad Civil para la asesoría técnica de la Propuesta de la Ley de Igualdad de poblaciones colocadas en situación de vulnerabilidad;</w:t>
      </w:r>
    </w:p>
    <w:p w14:paraId="788573C4" w14:textId="77777777" w:rsidR="00710629" w:rsidRPr="003A022D" w:rsidRDefault="00710629" w:rsidP="0071062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  <w:lang w:eastAsia="es-ES_tradnl"/>
        </w:rPr>
      </w:pPr>
      <w:r w:rsidRPr="00033CFD">
        <w:rPr>
          <w:rFonts w:ascii="Cambria" w:eastAsia="Times New Roman" w:hAnsi="Cambria" w:cs="Arial"/>
          <w:color w:val="000000" w:themeColor="text1"/>
          <w:sz w:val="18"/>
          <w:szCs w:val="18"/>
          <w:lang w:eastAsia="es-ES_tradnl"/>
        </w:rPr>
        <w:t>Desarrollo de la Agenda de Investigación de Inclusión Social de las personas LGBTI por el Observatorio de Derechos Humanos , en conjunto con  Organizaciones de Sociedad Civil;</w:t>
      </w:r>
    </w:p>
    <w:p w14:paraId="32B71E9D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Para la prevención de la tortura, el Mecanismo Nacional MNP-CONAPREV incrementó en 81% su presupuesto respecto al 2017. </w:t>
      </w: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>Su trabajo ha sido ininterrumpido durante la pandemia de la COVID-19 ya que fue plenamente habilitado mediante el PCM-021-2020 y subsiguientes.</w:t>
      </w:r>
    </w:p>
    <w:p w14:paraId="361E42FB" w14:textId="77777777" w:rsidR="00710629" w:rsidRPr="00C92CF3" w:rsidRDefault="00710629" w:rsidP="00710629">
      <w:pPr>
        <w:suppressAutoHyphens/>
        <w:spacing w:before="240" w:after="120" w:line="360" w:lineRule="auto"/>
        <w:ind w:right="-142"/>
        <w:jc w:val="both"/>
        <w:rPr>
          <w:rFonts w:ascii="Cambria" w:hAnsi="Cambria" w:cs="Arial"/>
          <w:color w:val="000000" w:themeColor="text1"/>
          <w:sz w:val="18"/>
          <w:szCs w:val="18"/>
          <w:lang w:val="es-MX"/>
        </w:rPr>
      </w:pP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>En  2019 la Secretaría General de la Organización de Estados Americanos OEA y el Estado, suscribieron un Acuerdo para fortalecer las capacidades del  Instituto Nacional Penitenciario;</w:t>
      </w:r>
    </w:p>
    <w:p w14:paraId="41FC57C6" w14:textId="77777777" w:rsidR="00710629" w:rsidRPr="00C92CF3" w:rsidRDefault="00710629" w:rsidP="00710629">
      <w:pPr>
        <w:tabs>
          <w:tab w:val="left" w:pos="8222"/>
        </w:tabs>
        <w:suppressAutoHyphens/>
        <w:spacing w:before="240" w:after="120" w:line="360" w:lineRule="auto"/>
        <w:ind w:right="-142"/>
        <w:jc w:val="both"/>
        <w:rPr>
          <w:rFonts w:ascii="Cambria" w:hAnsi="Cambria" w:cs="Arial"/>
          <w:color w:val="000000" w:themeColor="text1"/>
          <w:sz w:val="18"/>
          <w:szCs w:val="18"/>
          <w:lang w:val="es-MX"/>
        </w:rPr>
      </w:pP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 xml:space="preserve">El Poder Judicial por medio del </w:t>
      </w:r>
      <w:r w:rsidRPr="00C92CF3">
        <w:rPr>
          <w:rFonts w:ascii="Cambria" w:hAnsi="Cambria" w:cs="Arial"/>
          <w:i/>
          <w:iCs/>
          <w:color w:val="000000" w:themeColor="text1"/>
          <w:sz w:val="18"/>
          <w:szCs w:val="18"/>
          <w:lang w:val="es-MX"/>
        </w:rPr>
        <w:t>“Plan de Descongestionamiento de los Centros Penitenciarios”,</w:t>
      </w: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 xml:space="preserve"> en el marco</w:t>
      </w:r>
      <w:r>
        <w:rPr>
          <w:rFonts w:ascii="Cambria" w:hAnsi="Cambria" w:cs="Arial"/>
          <w:color w:val="000000" w:themeColor="text1"/>
          <w:sz w:val="18"/>
          <w:szCs w:val="18"/>
          <w:lang w:val="es-MX"/>
        </w:rPr>
        <w:t xml:space="preserve"> de </w:t>
      </w: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>l</w:t>
      </w:r>
      <w:r>
        <w:rPr>
          <w:rFonts w:ascii="Cambria" w:hAnsi="Cambria" w:cs="Arial"/>
          <w:color w:val="000000" w:themeColor="text1"/>
          <w:sz w:val="18"/>
          <w:szCs w:val="18"/>
          <w:lang w:val="es-MX"/>
        </w:rPr>
        <w:t>a</w:t>
      </w: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 xml:space="preserve"> COVID-19</w:t>
      </w:r>
      <w:r>
        <w:rPr>
          <w:rFonts w:ascii="Cambria" w:hAnsi="Cambria" w:cs="Arial"/>
          <w:color w:val="000000" w:themeColor="text1"/>
          <w:sz w:val="18"/>
          <w:szCs w:val="18"/>
          <w:lang w:val="es-MX"/>
        </w:rPr>
        <w:t xml:space="preserve"> </w:t>
      </w:r>
      <w:r w:rsidRPr="00C92CF3">
        <w:rPr>
          <w:rFonts w:ascii="Cambria" w:hAnsi="Cambria" w:cs="Arial"/>
          <w:color w:val="000000" w:themeColor="text1"/>
          <w:sz w:val="18"/>
          <w:szCs w:val="18"/>
          <w:lang w:val="es-MX"/>
        </w:rPr>
        <w:t>ha otorgado 1,263 beneficios;</w:t>
      </w:r>
    </w:p>
    <w:p w14:paraId="08C01070" w14:textId="77777777" w:rsidR="00710629" w:rsidRPr="00C92CF3" w:rsidRDefault="00710629" w:rsidP="00710629">
      <w:pPr>
        <w:spacing w:before="240" w:after="240" w:line="360" w:lineRule="auto"/>
        <w:jc w:val="both"/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MX"/>
        </w:rPr>
      </w:pPr>
      <w:r w:rsidRPr="00C92CF3">
        <w:rPr>
          <w:rFonts w:ascii="Cambria" w:hAnsi="Cambria" w:cs="Arial"/>
          <w:b/>
          <w:bCs/>
          <w:i/>
          <w:iCs/>
          <w:color w:val="000000" w:themeColor="text1"/>
          <w:sz w:val="18"/>
          <w:szCs w:val="18"/>
          <w:lang w:val="es-MX"/>
        </w:rPr>
        <w:t>Señora Presidenta</w:t>
      </w:r>
    </w:p>
    <w:p w14:paraId="4B43536E" w14:textId="77777777" w:rsidR="00710629" w:rsidRPr="00710629" w:rsidRDefault="00710629" w:rsidP="00710629">
      <w:pPr>
        <w:spacing w:before="240" w:after="24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Para proteger a las víctimas de trata  de personas y la explotación sexual comercial y la sanción a los responsables:</w:t>
      </w:r>
    </w:p>
    <w:p w14:paraId="70E48C62" w14:textId="77777777" w:rsidR="00710629" w:rsidRPr="00033CFD" w:rsidRDefault="00710629" w:rsidP="007106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</w:rPr>
        <w:t xml:space="preserve">Entre 2015-2020 se </w:t>
      </w:r>
      <w:r w:rsidRPr="00033CFD">
        <w:rPr>
          <w:rFonts w:ascii="Cambria" w:eastAsia="Times New Roman" w:hAnsi="Cambria" w:cs="Arial"/>
          <w:color w:val="000000" w:themeColor="text1"/>
          <w:sz w:val="18"/>
          <w:szCs w:val="18"/>
        </w:rPr>
        <w:t>ha aumentado en un 72%  el presupuesto de la Comisión Interinstitucional contra la Explotación Sexual y Trata CICESCT.</w:t>
      </w:r>
    </w:p>
    <w:p w14:paraId="0AEA7B40" w14:textId="77777777" w:rsidR="00710629" w:rsidRPr="00033CFD" w:rsidRDefault="00710629" w:rsidP="00710629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</w:rPr>
      </w:pPr>
      <w:r w:rsidRPr="00033CFD">
        <w:rPr>
          <w:rFonts w:ascii="Cambria" w:eastAsia="Times New Roman" w:hAnsi="Cambria" w:cs="Arial"/>
          <w:color w:val="000000" w:themeColor="text1"/>
          <w:sz w:val="18"/>
          <w:szCs w:val="18"/>
        </w:rPr>
        <w:t xml:space="preserve">Se ha atendido a 643 víctimas y se han emitido 122 sentencias condenatorias por esos delitos; </w:t>
      </w:r>
      <w:r w:rsidRPr="00033CFD">
        <w:rPr>
          <w:rFonts w:ascii="Cambria" w:hAnsi="Cambria" w:cs="Arial"/>
          <w:color w:val="000000" w:themeColor="text1"/>
          <w:sz w:val="18"/>
          <w:szCs w:val="18"/>
        </w:rPr>
        <w:t>se han conformado 24 comités locales, capacitado más de 50,000 personas y se han adherido 305 Empresas Turísticas al Código de Conducta;</w:t>
      </w:r>
    </w:p>
    <w:p w14:paraId="6086EC3D" w14:textId="7238B3E4" w:rsid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El abordaje articulado e integral a las personas en situación de movilidad humana ha continuado sin descanso, destacándose, entre otros:</w:t>
      </w:r>
    </w:p>
    <w:p w14:paraId="045A370E" w14:textId="13FEC611" w:rsid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30013392" w14:textId="39244720" w:rsid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3FC95D5C" w14:textId="2B0F57E2" w:rsid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06AB3B31" w14:textId="720A8237" w:rsid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183279C2" w14:textId="6375D207" w:rsid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3A074C7B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3321BD86" w14:textId="77777777" w:rsidR="00710629" w:rsidRPr="00033CFD" w:rsidRDefault="00710629" w:rsidP="00710629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Cambria" w:eastAsia="Book Antiqua" w:hAnsi="Cambria" w:cs="Arial"/>
          <w:color w:val="000000" w:themeColor="text1"/>
          <w:sz w:val="18"/>
          <w:szCs w:val="18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</w:rPr>
        <w:t>La creación de tres Centros de Atención al Migrante Retornado (CAMR</w:t>
      </w:r>
      <w:r w:rsidRPr="00033CFD">
        <w:rPr>
          <w:rFonts w:ascii="Cambria" w:hAnsi="Cambria" w:cs="Arial"/>
          <w:b/>
          <w:color w:val="000000" w:themeColor="text1"/>
          <w:sz w:val="18"/>
          <w:szCs w:val="18"/>
        </w:rPr>
        <w:t>)</w:t>
      </w:r>
      <w:r w:rsidRPr="00033CFD">
        <w:rPr>
          <w:rFonts w:ascii="Cambria" w:eastAsia="Book Antiqua" w:hAnsi="Cambria" w:cs="Arial"/>
          <w:color w:val="000000" w:themeColor="text1"/>
          <w:sz w:val="18"/>
          <w:szCs w:val="18"/>
        </w:rPr>
        <w:t>, y dos Centros de Protección a connacionales migrantes tanto en México como Estados Unidos;</w:t>
      </w:r>
    </w:p>
    <w:p w14:paraId="30707D98" w14:textId="77777777" w:rsidR="00710629" w:rsidRPr="00033CFD" w:rsidRDefault="00710629" w:rsidP="00710629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Cambria" w:eastAsia="Times New Roman" w:hAnsi="Cambria" w:cs="Arial"/>
          <w:color w:val="000000" w:themeColor="text1"/>
          <w:sz w:val="18"/>
          <w:szCs w:val="18"/>
        </w:rPr>
      </w:pPr>
      <w:r w:rsidRPr="00033CFD"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La creación de cuatro </w:t>
      </w:r>
      <w:r w:rsidRPr="00033CFD">
        <w:rPr>
          <w:rFonts w:ascii="Cambria" w:eastAsia="Times New Roman" w:hAnsi="Cambria" w:cs="Arial"/>
          <w:color w:val="000000" w:themeColor="text1"/>
          <w:sz w:val="18"/>
          <w:szCs w:val="18"/>
        </w:rPr>
        <w:t xml:space="preserve">Centros de Atención al Migrante Irregular (CAMI) habiéndose atendido entre 2014-2020  a 105,133 personas; </w:t>
      </w:r>
    </w:p>
    <w:p w14:paraId="668F07BC" w14:textId="77777777" w:rsidR="00710629" w:rsidRPr="00033CFD" w:rsidRDefault="00710629" w:rsidP="00710629">
      <w:pPr>
        <w:pStyle w:val="ListParagraph"/>
        <w:numPr>
          <w:ilvl w:val="0"/>
          <w:numId w:val="5"/>
        </w:numPr>
        <w:shd w:val="clear" w:color="auto" w:fill="FFFFFF"/>
        <w:spacing w:after="160" w:line="360" w:lineRule="auto"/>
        <w:jc w:val="both"/>
        <w:rPr>
          <w:rFonts w:ascii="Cambria" w:hAnsi="Cambria" w:cs="Arial"/>
          <w:iCs/>
          <w:color w:val="000000" w:themeColor="text1"/>
          <w:sz w:val="18"/>
          <w:szCs w:val="18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</w:rPr>
        <w:t xml:space="preserve">La conformación de la  </w:t>
      </w:r>
      <w:r w:rsidRPr="00033CFD">
        <w:rPr>
          <w:rFonts w:ascii="Cambria" w:hAnsi="Cambria" w:cs="Arial"/>
          <w:iCs/>
          <w:color w:val="000000" w:themeColor="text1"/>
          <w:sz w:val="18"/>
          <w:szCs w:val="18"/>
        </w:rPr>
        <w:t>“Mesa de Búsqueda de Migrantes Desaparecidos”;</w:t>
      </w:r>
    </w:p>
    <w:p w14:paraId="18289722" w14:textId="77777777" w:rsidR="00710629" w:rsidRPr="00033CFD" w:rsidRDefault="00710629" w:rsidP="00710629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MX"/>
        </w:rPr>
      </w:pPr>
      <w:r w:rsidRPr="00033CFD">
        <w:rPr>
          <w:rFonts w:ascii="Cambria" w:hAnsi="Cambria" w:cs="Arial"/>
          <w:color w:val="000000" w:themeColor="text1"/>
          <w:sz w:val="18"/>
          <w:szCs w:val="18"/>
          <w:lang w:val="es-MX"/>
        </w:rPr>
        <w:t xml:space="preserve">En proceso de elaboración la Política Migratoria Nacional y próximo a publicarse el Perfil Migratorio en Honduras; </w:t>
      </w:r>
    </w:p>
    <w:p w14:paraId="683AB30A" w14:textId="77777777" w:rsidR="00710629" w:rsidRPr="00C92CF3" w:rsidRDefault="00710629" w:rsidP="00710629">
      <w:pPr>
        <w:pStyle w:val="CommentText"/>
        <w:numPr>
          <w:ilvl w:val="0"/>
          <w:numId w:val="5"/>
        </w:num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C92CF3">
        <w:rPr>
          <w:rFonts w:ascii="Cambria" w:eastAsia="Book Antiqua" w:hAnsi="Cambria" w:cs="Arial"/>
          <w:color w:val="000000" w:themeColor="text1"/>
          <w:sz w:val="18"/>
          <w:szCs w:val="18"/>
        </w:rPr>
        <w:t>Durante 2020 se han recibido 32,534 connacionales retornados, identificándose  en su orden las tres principales razones</w:t>
      </w:r>
      <w:r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 para migrar</w:t>
      </w:r>
      <w:r w:rsidRPr="00C92CF3">
        <w:rPr>
          <w:rFonts w:ascii="Cambria" w:eastAsia="Book Antiqua" w:hAnsi="Cambria" w:cs="Arial"/>
          <w:color w:val="000000" w:themeColor="text1"/>
          <w:sz w:val="18"/>
          <w:szCs w:val="18"/>
        </w:rPr>
        <w:t>:</w:t>
      </w:r>
      <w:r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 </w:t>
      </w:r>
      <w:r w:rsidRPr="00C92CF3"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 motivos económicos</w:t>
      </w:r>
      <w:r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; </w:t>
      </w:r>
      <w:r w:rsidRPr="00C92CF3"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 reunificación familiar e</w:t>
      </w:r>
      <w:r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; </w:t>
      </w:r>
      <w:r w:rsidRPr="00C92CF3">
        <w:rPr>
          <w:rFonts w:ascii="Cambria" w:eastAsia="Book Antiqua" w:hAnsi="Cambria" w:cs="Arial"/>
          <w:color w:val="000000" w:themeColor="text1"/>
          <w:sz w:val="18"/>
          <w:szCs w:val="18"/>
        </w:rPr>
        <w:t xml:space="preserve"> inseguridad y violencia.</w:t>
      </w:r>
    </w:p>
    <w:p w14:paraId="2EF36F9C" w14:textId="77777777" w:rsidR="00710629" w:rsidRPr="00710629" w:rsidRDefault="00710629" w:rsidP="00710629">
      <w:pPr>
        <w:spacing w:line="360" w:lineRule="auto"/>
        <w:jc w:val="both"/>
        <w:rPr>
          <w:rFonts w:ascii="Cambria" w:eastAsia="Book Antiqua" w:hAnsi="Cambria" w:cs="Arial"/>
          <w:color w:val="000000" w:themeColor="text1"/>
          <w:sz w:val="18"/>
          <w:szCs w:val="18"/>
          <w:lang w:val="es-ES"/>
        </w:rPr>
      </w:pPr>
    </w:p>
    <w:p w14:paraId="4C0D7981" w14:textId="77777777" w:rsidR="00710629" w:rsidRPr="00710629" w:rsidRDefault="00710629" w:rsidP="00710629">
      <w:pPr>
        <w:spacing w:after="20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>Durante la COVID-19 se destacan las siguientes acciones:</w:t>
      </w:r>
    </w:p>
    <w:p w14:paraId="3BFB2ECB" w14:textId="77777777" w:rsidR="00710629" w:rsidRPr="00710629" w:rsidRDefault="00710629" w:rsidP="00710629">
      <w:pPr>
        <w:spacing w:after="200"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Implementación del </w:t>
      </w:r>
      <w:r w:rsidRPr="00710629">
        <w:rPr>
          <w:rFonts w:ascii="Cambria" w:eastAsia="Book Antiqua" w:hAnsi="Cambria" w:cs="Arial"/>
          <w:bCs/>
          <w:iCs/>
          <w:color w:val="000000" w:themeColor="text1"/>
          <w:sz w:val="18"/>
          <w:szCs w:val="18"/>
          <w:lang w:val="es-ES"/>
        </w:rPr>
        <w:t xml:space="preserve">Protocolo de Atención a Migrantes Retornados </w:t>
      </w:r>
      <w:r w:rsidRPr="00710629">
        <w:rPr>
          <w:rFonts w:ascii="Cambria" w:hAnsi="Cambria" w:cs="Arial"/>
          <w:color w:val="000000" w:themeColor="text1"/>
          <w:sz w:val="18"/>
          <w:szCs w:val="18"/>
          <w:lang w:val="es-ES"/>
        </w:rPr>
        <w:t xml:space="preserve">y la </w:t>
      </w:r>
      <w:r w:rsidRPr="00710629">
        <w:rPr>
          <w:rFonts w:ascii="Cambria" w:eastAsia="Book Antiqua" w:hAnsi="Cambria" w:cs="Arial"/>
          <w:bCs/>
          <w:iCs/>
          <w:color w:val="000000" w:themeColor="text1"/>
          <w:sz w:val="18"/>
          <w:szCs w:val="18"/>
          <w:lang w:val="es-ES"/>
        </w:rPr>
        <w:t>Habilitación de 9 Centros de Aislamiento Temporal (CAT)</w:t>
      </w:r>
      <w:r w:rsidRPr="00710629">
        <w:rPr>
          <w:rFonts w:ascii="Cambria" w:eastAsia="Book Antiqua" w:hAnsi="Cambria" w:cs="Arial"/>
          <w:color w:val="000000" w:themeColor="text1"/>
          <w:sz w:val="18"/>
          <w:szCs w:val="18"/>
          <w:lang w:val="es-ES"/>
        </w:rPr>
        <w:t xml:space="preserve"> que atendieron exclusivamente  a 6,285 migrantes retornados entre marzo y junio; </w:t>
      </w:r>
    </w:p>
    <w:p w14:paraId="2E3EEEEC" w14:textId="77777777" w:rsidR="00710629" w:rsidRPr="00710629" w:rsidRDefault="00710629" w:rsidP="00710629">
      <w:pPr>
        <w:widowControl w:val="0"/>
        <w:tabs>
          <w:tab w:val="left" w:pos="822"/>
        </w:tabs>
        <w:spacing w:line="360" w:lineRule="auto"/>
        <w:ind w:right="49"/>
        <w:jc w:val="both"/>
        <w:rPr>
          <w:rFonts w:ascii="Cambria" w:eastAsia="Book Antiqua" w:hAnsi="Cambria" w:cs="Arial"/>
          <w:color w:val="000000" w:themeColor="text1"/>
          <w:sz w:val="18"/>
          <w:szCs w:val="18"/>
          <w:lang w:val="es-ES"/>
        </w:rPr>
      </w:pPr>
      <w:r w:rsidRPr="00710629">
        <w:rPr>
          <w:rFonts w:ascii="Cambria" w:eastAsia="Book Antiqua" w:hAnsi="Cambria" w:cs="Arial"/>
          <w:color w:val="000000" w:themeColor="text1"/>
          <w:sz w:val="18"/>
          <w:szCs w:val="18"/>
          <w:lang w:val="es-ES"/>
        </w:rPr>
        <w:t xml:space="preserve">Se implementa el Plan de Apoyo Integral en beneficio de los migrantes retornados emprendedores; </w:t>
      </w:r>
    </w:p>
    <w:p w14:paraId="3F60B105" w14:textId="77777777" w:rsidR="00710629" w:rsidRPr="00710629" w:rsidRDefault="00710629" w:rsidP="00710629">
      <w:pPr>
        <w:widowControl w:val="0"/>
        <w:tabs>
          <w:tab w:val="left" w:pos="822"/>
        </w:tabs>
        <w:spacing w:line="360" w:lineRule="auto"/>
        <w:ind w:right="49"/>
        <w:jc w:val="both"/>
        <w:rPr>
          <w:rFonts w:ascii="Cambria" w:eastAsia="Book Antiqua" w:hAnsi="Cambria" w:cs="Arial"/>
          <w:color w:val="000000" w:themeColor="text1"/>
          <w:sz w:val="18"/>
          <w:szCs w:val="18"/>
          <w:lang w:val="es-ES"/>
        </w:rPr>
      </w:pPr>
    </w:p>
    <w:p w14:paraId="7B73EC1F" w14:textId="77777777" w:rsidR="00710629" w:rsidRPr="00C92CF3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proofErr w:type="spellStart"/>
      <w:r w:rsidRPr="00C92CF3">
        <w:rPr>
          <w:rFonts w:ascii="Cambria" w:hAnsi="Cambria" w:cs="Arial"/>
          <w:color w:val="000000" w:themeColor="text1"/>
          <w:sz w:val="18"/>
          <w:szCs w:val="18"/>
        </w:rPr>
        <w:t>Además</w:t>
      </w:r>
      <w:proofErr w:type="spellEnd"/>
      <w:r w:rsidRPr="00C92CF3">
        <w:rPr>
          <w:rFonts w:ascii="Cambria" w:hAnsi="Cambria" w:cs="Arial"/>
          <w:color w:val="000000" w:themeColor="text1"/>
          <w:sz w:val="18"/>
          <w:szCs w:val="18"/>
        </w:rPr>
        <w:t xml:space="preserve"> se </w:t>
      </w:r>
      <w:proofErr w:type="spellStart"/>
      <w:r w:rsidRPr="00C92CF3">
        <w:rPr>
          <w:rFonts w:ascii="Cambria" w:hAnsi="Cambria" w:cs="Arial"/>
          <w:color w:val="000000" w:themeColor="text1"/>
          <w:sz w:val="18"/>
          <w:szCs w:val="18"/>
        </w:rPr>
        <w:t>informa</w:t>
      </w:r>
      <w:proofErr w:type="spellEnd"/>
      <w:r w:rsidRPr="00C92CF3">
        <w:rPr>
          <w:rFonts w:ascii="Cambria" w:hAnsi="Cambria" w:cs="Arial"/>
          <w:color w:val="000000" w:themeColor="text1"/>
          <w:sz w:val="18"/>
          <w:szCs w:val="18"/>
        </w:rPr>
        <w:t xml:space="preserve"> que: </w:t>
      </w:r>
    </w:p>
    <w:p w14:paraId="29366344" w14:textId="77777777" w:rsidR="00710629" w:rsidRPr="00C92CF3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</w:p>
    <w:p w14:paraId="268AE0E0" w14:textId="77777777" w:rsidR="00710629" w:rsidRPr="005C29A3" w:rsidRDefault="00710629" w:rsidP="007106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5C29A3">
        <w:rPr>
          <w:rFonts w:ascii="Cambria" w:hAnsi="Cambria" w:cs="Arial"/>
          <w:color w:val="000000" w:themeColor="text1"/>
          <w:sz w:val="18"/>
          <w:szCs w:val="18"/>
        </w:rPr>
        <w:t xml:space="preserve">Se creó la Dirección para la Protección de Personas Desplazadas Internas por la Violencia que articula sus acciones con la Comisión Interinstitucional para la Protección de Personas Desplazadas Internas;  </w:t>
      </w:r>
    </w:p>
    <w:p w14:paraId="38E1BB8E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46E509AE" w14:textId="77777777" w:rsidR="00710629" w:rsidRPr="005C29A3" w:rsidRDefault="00710629" w:rsidP="007106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5C29A3">
        <w:rPr>
          <w:rFonts w:ascii="Cambria" w:hAnsi="Cambria" w:cs="Arial"/>
          <w:color w:val="000000" w:themeColor="text1"/>
          <w:sz w:val="18"/>
          <w:szCs w:val="18"/>
        </w:rPr>
        <w:t>Se han elaborado dos estudios de Caracterización del Desplazamiento Interno por la Violencia en 2015 y en 2018;</w:t>
      </w:r>
    </w:p>
    <w:p w14:paraId="5BB142E8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3A60B14C" w14:textId="77777777" w:rsidR="00710629" w:rsidRPr="005C29A3" w:rsidRDefault="00710629" w:rsidP="0071062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</w:rPr>
      </w:pPr>
      <w:r w:rsidRPr="005C29A3">
        <w:rPr>
          <w:rFonts w:ascii="Cambria" w:hAnsi="Cambria" w:cs="Arial"/>
          <w:color w:val="000000" w:themeColor="text1"/>
          <w:sz w:val="18"/>
          <w:szCs w:val="18"/>
        </w:rPr>
        <w:t>Se entregó al Congreso Nacional el Proyecto de Ley para la Prevención, Atención y Protección de las Personas Desplazadas Internas;</w:t>
      </w:r>
    </w:p>
    <w:p w14:paraId="2A7E837B" w14:textId="77777777" w:rsidR="00710629" w:rsidRPr="00710629" w:rsidRDefault="00710629" w:rsidP="00710629">
      <w:pPr>
        <w:spacing w:line="360" w:lineRule="auto"/>
        <w:jc w:val="both"/>
        <w:rPr>
          <w:rFonts w:ascii="Cambria" w:hAnsi="Cambria" w:cs="Arial"/>
          <w:color w:val="000000" w:themeColor="text1"/>
          <w:sz w:val="18"/>
          <w:szCs w:val="18"/>
          <w:lang w:val="es-ES"/>
        </w:rPr>
      </w:pPr>
    </w:p>
    <w:p w14:paraId="23169D7D" w14:textId="1150EA2E" w:rsidR="00696C23" w:rsidRPr="00696C23" w:rsidRDefault="00696C23" w:rsidP="00696C23">
      <w:pPr>
        <w:pStyle w:val="Cuerpo"/>
        <w:spacing w:after="0" w:line="240" w:lineRule="auto"/>
        <w:ind w:firstLine="709"/>
        <w:jc w:val="right"/>
        <w:rPr>
          <w:rFonts w:ascii="Optima" w:eastAsia="Optima" w:hAnsi="Optima" w:cs="Optima"/>
          <w:sz w:val="11"/>
          <w:szCs w:val="11"/>
        </w:rPr>
      </w:pPr>
    </w:p>
    <w:sectPr w:rsidR="00696C23" w:rsidRPr="00696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327" w:bottom="568" w:left="1559" w:header="709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FFA1D" w14:textId="77777777" w:rsidR="002E59E2" w:rsidRDefault="002E59E2">
      <w:r>
        <w:separator/>
      </w:r>
    </w:p>
  </w:endnote>
  <w:endnote w:type="continuationSeparator" w:id="0">
    <w:p w14:paraId="192327EB" w14:textId="77777777" w:rsidR="002E59E2" w:rsidRDefault="002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41308563"/>
      <w:docPartObj>
        <w:docPartGallery w:val="Page Numbers (Bottom of Page)"/>
        <w:docPartUnique/>
      </w:docPartObj>
    </w:sdtPr>
    <w:sdtContent>
      <w:p w14:paraId="2B6BB19C" w14:textId="7F09AACE" w:rsidR="00710629" w:rsidRDefault="00710629" w:rsidP="002151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17E4B" w14:textId="77777777" w:rsidR="00357257" w:rsidRDefault="00357257" w:rsidP="00710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60381074"/>
      <w:docPartObj>
        <w:docPartGallery w:val="Page Numbers (Bottom of Page)"/>
        <w:docPartUnique/>
      </w:docPartObj>
    </w:sdtPr>
    <w:sdtContent>
      <w:p w14:paraId="4A100ADB" w14:textId="06007EFA" w:rsidR="00710629" w:rsidRDefault="00710629" w:rsidP="002151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2D4037" w14:textId="77777777" w:rsidR="00DF5766" w:rsidRDefault="00DF576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49402" w14:textId="77777777" w:rsidR="00357257" w:rsidRDefault="003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DF6D" w14:textId="77777777" w:rsidR="002E59E2" w:rsidRDefault="002E59E2">
      <w:r>
        <w:separator/>
      </w:r>
    </w:p>
  </w:footnote>
  <w:footnote w:type="continuationSeparator" w:id="0">
    <w:p w14:paraId="5E76C01B" w14:textId="77777777" w:rsidR="002E59E2" w:rsidRDefault="002E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63FB" w14:textId="77777777" w:rsidR="00357257" w:rsidRDefault="0035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8EB2" w14:textId="77777777" w:rsidR="00DF5766" w:rsidRDefault="006A5636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F505F67" wp14:editId="5968DEC3">
              <wp:simplePos x="0" y="0"/>
              <wp:positionH relativeFrom="page">
                <wp:posOffset>647064</wp:posOffset>
              </wp:positionH>
              <wp:positionV relativeFrom="page">
                <wp:posOffset>161290</wp:posOffset>
              </wp:positionV>
              <wp:extent cx="6400800" cy="1013460"/>
              <wp:effectExtent l="0" t="0" r="0" b="0"/>
              <wp:wrapNone/>
              <wp:docPr id="1073741828" name="officeArt object" descr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13460"/>
                        <a:chOff x="0" y="0"/>
                        <a:chExt cx="6400799" cy="1013459"/>
                      </a:xfrm>
                    </wpg:grpSpPr>
                    <pic:pic xmlns:pic="http://schemas.openxmlformats.org/drawingml/2006/picture">
                      <pic:nvPicPr>
                        <pic:cNvPr id="1073741825" name="Picture 1" descr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421889" y="0"/>
                          <a:ext cx="1350011" cy="10134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2" descr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43399" y="213359"/>
                          <a:ext cx="2057401" cy="53467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7" name="Picture 3" descr="Pictur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9054"/>
                          <a:ext cx="1943100" cy="8788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0.9pt;margin-top:12.7pt;width:504.0pt;height:79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400799,1013460">
              <w10:wrap type="none" side="bothSides" anchorx="page" anchory="page"/>
              <v:shape id="_x0000_s1027" type="#_x0000_t75" style="position:absolute;left:2421890;top:0;width:1350010;height:1013460;">
                <v:imagedata r:id="rId4" o:title="image1.jpeg"/>
              </v:shape>
              <v:shape id="_x0000_s1028" type="#_x0000_t75" style="position:absolute;left:4343400;top:213360;width:2057400;height:534670;">
                <v:imagedata r:id="rId5" o:title="image2.jpeg"/>
              </v:shape>
              <v:shape id="_x0000_s1029" type="#_x0000_t75" style="position:absolute;left:0;top:59055;width:1943100;height:878840;">
                <v:imagedata r:id="rId6" o:title="image3.png"/>
              </v:shape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736D1B5" wp14:editId="7D17D1AF">
          <wp:simplePos x="0" y="0"/>
          <wp:positionH relativeFrom="page">
            <wp:posOffset>2361564</wp:posOffset>
          </wp:positionH>
          <wp:positionV relativeFrom="page">
            <wp:posOffset>9995534</wp:posOffset>
          </wp:positionV>
          <wp:extent cx="2672080" cy="467996"/>
          <wp:effectExtent l="0" t="0" r="0" b="0"/>
          <wp:wrapNone/>
          <wp:docPr id="1073741829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n 3" descr="Imagen 3"/>
                  <pic:cNvPicPr>
                    <a:picLocks noChangeAspect="1"/>
                  </pic:cNvPicPr>
                </pic:nvPicPr>
                <pic:blipFill>
                  <a:blip r:embed="rId7">
                    <a:alphaModFix amt="55000"/>
                  </a:blip>
                  <a:srcRect b="19111"/>
                  <a:stretch>
                    <a:fillRect/>
                  </a:stretch>
                </pic:blipFill>
                <pic:spPr>
                  <a:xfrm>
                    <a:off x="0" y="0"/>
                    <a:ext cx="2672080" cy="467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52CD" w14:textId="77777777" w:rsidR="00357257" w:rsidRDefault="00357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A6EBA"/>
    <w:multiLevelType w:val="hybridMultilevel"/>
    <w:tmpl w:val="4CD4C2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0FBC"/>
    <w:multiLevelType w:val="hybridMultilevel"/>
    <w:tmpl w:val="A424A3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51FF"/>
    <w:multiLevelType w:val="hybridMultilevel"/>
    <w:tmpl w:val="D1C4DE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A270C"/>
    <w:multiLevelType w:val="hybridMultilevel"/>
    <w:tmpl w:val="7B40CD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D2339"/>
    <w:multiLevelType w:val="hybridMultilevel"/>
    <w:tmpl w:val="E182EE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F7794"/>
    <w:multiLevelType w:val="hybridMultilevel"/>
    <w:tmpl w:val="864814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66"/>
    <w:rsid w:val="00056346"/>
    <w:rsid w:val="00080F39"/>
    <w:rsid w:val="00084CE1"/>
    <w:rsid w:val="000B02D4"/>
    <w:rsid w:val="000B21F3"/>
    <w:rsid w:val="000C1740"/>
    <w:rsid w:val="000E6DFB"/>
    <w:rsid w:val="000F4E13"/>
    <w:rsid w:val="00111CA1"/>
    <w:rsid w:val="00130C79"/>
    <w:rsid w:val="00143F87"/>
    <w:rsid w:val="00150DFE"/>
    <w:rsid w:val="00183EBA"/>
    <w:rsid w:val="001B07F3"/>
    <w:rsid w:val="001B624D"/>
    <w:rsid w:val="001E1204"/>
    <w:rsid w:val="001F1090"/>
    <w:rsid w:val="002029F5"/>
    <w:rsid w:val="00207816"/>
    <w:rsid w:val="00243899"/>
    <w:rsid w:val="00283AA9"/>
    <w:rsid w:val="00284D8B"/>
    <w:rsid w:val="002E59E2"/>
    <w:rsid w:val="00317993"/>
    <w:rsid w:val="00333B12"/>
    <w:rsid w:val="003377EE"/>
    <w:rsid w:val="00357257"/>
    <w:rsid w:val="00372400"/>
    <w:rsid w:val="00381448"/>
    <w:rsid w:val="00397AE3"/>
    <w:rsid w:val="00427FA9"/>
    <w:rsid w:val="004404AF"/>
    <w:rsid w:val="0046534D"/>
    <w:rsid w:val="00477BCF"/>
    <w:rsid w:val="0049618C"/>
    <w:rsid w:val="00496A46"/>
    <w:rsid w:val="004C41C0"/>
    <w:rsid w:val="004D0AE0"/>
    <w:rsid w:val="004D0C07"/>
    <w:rsid w:val="004D7FFB"/>
    <w:rsid w:val="00507291"/>
    <w:rsid w:val="00570956"/>
    <w:rsid w:val="005D20A5"/>
    <w:rsid w:val="005D29C8"/>
    <w:rsid w:val="005D7427"/>
    <w:rsid w:val="005E38E7"/>
    <w:rsid w:val="005F5A62"/>
    <w:rsid w:val="00603117"/>
    <w:rsid w:val="00696C23"/>
    <w:rsid w:val="006A5636"/>
    <w:rsid w:val="006A750C"/>
    <w:rsid w:val="006B4E57"/>
    <w:rsid w:val="006B641D"/>
    <w:rsid w:val="007100B4"/>
    <w:rsid w:val="00710629"/>
    <w:rsid w:val="00744D31"/>
    <w:rsid w:val="00785FB2"/>
    <w:rsid w:val="007D352E"/>
    <w:rsid w:val="0082254D"/>
    <w:rsid w:val="00843C13"/>
    <w:rsid w:val="00891B5B"/>
    <w:rsid w:val="008A64C5"/>
    <w:rsid w:val="008A777F"/>
    <w:rsid w:val="008D22BD"/>
    <w:rsid w:val="009348B0"/>
    <w:rsid w:val="009A788F"/>
    <w:rsid w:val="009D1D8B"/>
    <w:rsid w:val="00A20299"/>
    <w:rsid w:val="00A33479"/>
    <w:rsid w:val="00A756B8"/>
    <w:rsid w:val="00AF0F62"/>
    <w:rsid w:val="00B121A8"/>
    <w:rsid w:val="00B22C1B"/>
    <w:rsid w:val="00B24281"/>
    <w:rsid w:val="00B378FD"/>
    <w:rsid w:val="00B45B0C"/>
    <w:rsid w:val="00B6070F"/>
    <w:rsid w:val="00B66CA4"/>
    <w:rsid w:val="00B917E2"/>
    <w:rsid w:val="00C378FB"/>
    <w:rsid w:val="00C578D9"/>
    <w:rsid w:val="00C71629"/>
    <w:rsid w:val="00C94D48"/>
    <w:rsid w:val="00C95882"/>
    <w:rsid w:val="00CB56F5"/>
    <w:rsid w:val="00CE3CFE"/>
    <w:rsid w:val="00D1266A"/>
    <w:rsid w:val="00D15423"/>
    <w:rsid w:val="00D40480"/>
    <w:rsid w:val="00DC1C18"/>
    <w:rsid w:val="00DD1447"/>
    <w:rsid w:val="00DF5766"/>
    <w:rsid w:val="00E459E0"/>
    <w:rsid w:val="00E62A1B"/>
    <w:rsid w:val="00E808EF"/>
    <w:rsid w:val="00E96A67"/>
    <w:rsid w:val="00EA541E"/>
    <w:rsid w:val="00EF581E"/>
    <w:rsid w:val="00F35C06"/>
    <w:rsid w:val="00F37D7E"/>
    <w:rsid w:val="00F4155E"/>
    <w:rsid w:val="00F51517"/>
    <w:rsid w:val="00F55788"/>
    <w:rsid w:val="00F65FAB"/>
    <w:rsid w:val="00F83A79"/>
    <w:rsid w:val="00FB181C"/>
    <w:rsid w:val="00FD727D"/>
    <w:rsid w:val="00FE6D76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F795E"/>
  <w15:docId w15:val="{46068829-3079-E142-A67D-60B24BB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u w:color="000000"/>
      <w:lang w:val="es-ES_tradnl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libri" w:eastAsia="Calibri" w:hAnsi="Calibri" w:cs="Calibri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F3"/>
    <w:rPr>
      <w:sz w:val="18"/>
      <w:szCs w:val="18"/>
      <w:lang w:val="en-US" w:eastAsia="en-US"/>
    </w:rPr>
  </w:style>
  <w:style w:type="paragraph" w:styleId="ListParagraph">
    <w:name w:val="List Paragraph"/>
    <w:aliases w:val="Párrafo numerado,Premier,Paragrap,Paragraphe de liste1,normal,Bullets,References,Liste 1,Numbered List Paragraph,ReferencesCxSpLast,Paragraphe de liste,List Paragraph1,Normal2,Normal3,Normal4,Normal5,Normal6,Normal7,Numbered paragraph,3"/>
    <w:basedOn w:val="Normal"/>
    <w:link w:val="ListParagraphChar"/>
    <w:uiPriority w:val="34"/>
    <w:qFormat/>
    <w:rsid w:val="00710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s-HN"/>
    </w:rPr>
  </w:style>
  <w:style w:type="character" w:customStyle="1" w:styleId="ListParagraphChar">
    <w:name w:val="List Paragraph Char"/>
    <w:aliases w:val="Párrafo numerado Char,Premier Char,Paragrap Char,Paragraphe de liste1 Char,normal Char,Bullets Char,References Char,Liste 1 Char,Numbered List Paragraph Char,ReferencesCxSpLast Char,Paragraphe de liste Char,List Paragraph1 Char"/>
    <w:link w:val="ListParagraph"/>
    <w:uiPriority w:val="34"/>
    <w:qFormat/>
    <w:locked/>
    <w:rsid w:val="00710629"/>
    <w:rPr>
      <w:rFonts w:asciiTheme="minorHAnsi" w:eastAsiaTheme="minorEastAsia" w:hAnsiTheme="minorHAnsi" w:cstheme="minorBidi"/>
      <w:sz w:val="24"/>
      <w:szCs w:val="24"/>
      <w:bdr w:val="none" w:sz="0" w:space="0" w:color="auto"/>
      <w:lang w:val="es-HN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val="es-H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629"/>
    <w:rPr>
      <w:rFonts w:asciiTheme="minorHAnsi" w:eastAsiaTheme="minorEastAsia" w:hAnsiTheme="minorHAnsi" w:cstheme="minorBidi"/>
      <w:bdr w:val="none" w:sz="0" w:space="0" w:color="auto"/>
      <w:lang w:val="es-HN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1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1.png"/><Relationship Id="rId5" Type="http://schemas.openxmlformats.org/officeDocument/2006/relationships/image" Target="media/image20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FFABC-4F82-4CFB-B34D-0C96F08A8FC2}"/>
</file>

<file path=customXml/itemProps2.xml><?xml version="1.0" encoding="utf-8"?>
<ds:datastoreItem xmlns:ds="http://schemas.openxmlformats.org/officeDocument/2006/customXml" ds:itemID="{A0B2841F-EC03-4282-8FCB-A4488A7168A7}"/>
</file>

<file path=customXml/itemProps3.xml><?xml version="1.0" encoding="utf-8"?>
<ds:datastoreItem xmlns:ds="http://schemas.openxmlformats.org/officeDocument/2006/customXml" ds:itemID="{A1908984-C139-4533-A3F0-0516B0F01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HONDURAS</cp:lastModifiedBy>
  <cp:revision>2</cp:revision>
  <cp:lastPrinted>2020-11-02T15:12:00Z</cp:lastPrinted>
  <dcterms:created xsi:type="dcterms:W3CDTF">2020-11-03T18:59:00Z</dcterms:created>
  <dcterms:modified xsi:type="dcterms:W3CDTF">2020-11-03T18:59:00Z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