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D9085F" w14:textId="713AF922" w:rsidR="00397AE3" w:rsidRDefault="00397AE3" w:rsidP="00D15423">
      <w:pPr>
        <w:pStyle w:val="Cuerpo"/>
        <w:spacing w:line="240" w:lineRule="auto"/>
        <w:rPr>
          <w:rStyle w:val="Ninguno"/>
          <w:rFonts w:asciiTheme="minorHAnsi" w:hAnsiTheme="minorHAnsi"/>
          <w:sz w:val="2"/>
          <w:szCs w:val="2"/>
          <w:lang w:val="es-ES_tradnl"/>
        </w:rPr>
      </w:pPr>
    </w:p>
    <w:p w14:paraId="7E746E4E" w14:textId="53B8A856" w:rsidR="00243899" w:rsidRDefault="00243899" w:rsidP="00D15423">
      <w:pPr>
        <w:pStyle w:val="Cuerpo"/>
        <w:spacing w:line="240" w:lineRule="auto"/>
        <w:rPr>
          <w:rStyle w:val="Ninguno"/>
          <w:rFonts w:asciiTheme="minorHAnsi" w:hAnsiTheme="minorHAnsi"/>
          <w:sz w:val="2"/>
          <w:szCs w:val="2"/>
          <w:lang w:val="es-ES_tradnl"/>
        </w:rPr>
      </w:pPr>
    </w:p>
    <w:p w14:paraId="6E1ECAC6" w14:textId="4129002A" w:rsidR="00243899" w:rsidRDefault="00243899" w:rsidP="00D15423">
      <w:pPr>
        <w:pStyle w:val="Cuerpo"/>
        <w:spacing w:line="240" w:lineRule="auto"/>
        <w:rPr>
          <w:rStyle w:val="Ninguno"/>
          <w:rFonts w:asciiTheme="minorHAnsi" w:hAnsiTheme="minorHAnsi"/>
          <w:sz w:val="2"/>
          <w:szCs w:val="2"/>
          <w:lang w:val="es-ES_tradnl"/>
        </w:rPr>
      </w:pPr>
    </w:p>
    <w:p w14:paraId="0FB9F8EE" w14:textId="5730E37D" w:rsidR="00E9130A" w:rsidRDefault="00E9130A" w:rsidP="00E9130A">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Intervención</w:t>
      </w:r>
    </w:p>
    <w:p w14:paraId="2D70AC3A" w14:textId="52734312" w:rsidR="00E9130A" w:rsidRDefault="00E9130A" w:rsidP="00E9130A">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Señor Marcos Velásquez</w:t>
      </w:r>
    </w:p>
    <w:p w14:paraId="40EDDEB7" w14:textId="05AC4A82" w:rsidR="00E9130A" w:rsidRDefault="00E9130A" w:rsidP="00E9130A">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Diputado del Congreso Nacional y Presidente del Comité de Derechos Humanos del Congreso Nacional</w:t>
      </w:r>
    </w:p>
    <w:p w14:paraId="3DB317AC" w14:textId="77777777" w:rsidR="00E9130A" w:rsidRDefault="00E9130A" w:rsidP="00E9130A">
      <w:pPr>
        <w:spacing w:line="360" w:lineRule="auto"/>
        <w:jc w:val="center"/>
        <w:rPr>
          <w:rFonts w:ascii="Cambria" w:hAnsi="Cambria" w:cs="Arial"/>
          <w:b/>
          <w:bCs/>
          <w:i/>
          <w:iCs/>
          <w:color w:val="000000" w:themeColor="text1"/>
          <w:sz w:val="18"/>
          <w:szCs w:val="18"/>
          <w:lang w:val="es-ES"/>
        </w:rPr>
      </w:pPr>
    </w:p>
    <w:p w14:paraId="57CE26E8" w14:textId="0943F927" w:rsidR="00E9130A" w:rsidRPr="00E9130A" w:rsidRDefault="00E9130A" w:rsidP="00E9130A">
      <w:pPr>
        <w:spacing w:line="360" w:lineRule="auto"/>
        <w:jc w:val="both"/>
        <w:rPr>
          <w:rFonts w:ascii="Cambria" w:hAnsi="Cambria" w:cs="Arial"/>
          <w:b/>
          <w:bCs/>
          <w:i/>
          <w:iCs/>
          <w:color w:val="000000" w:themeColor="text1"/>
          <w:sz w:val="18"/>
          <w:szCs w:val="18"/>
          <w:lang w:val="es-ES"/>
        </w:rPr>
      </w:pPr>
      <w:r w:rsidRPr="00E9130A">
        <w:rPr>
          <w:rFonts w:ascii="Cambria" w:hAnsi="Cambria" w:cs="Arial"/>
          <w:b/>
          <w:bCs/>
          <w:i/>
          <w:iCs/>
          <w:color w:val="000000" w:themeColor="text1"/>
          <w:sz w:val="18"/>
          <w:szCs w:val="18"/>
          <w:lang w:val="es-ES"/>
        </w:rPr>
        <w:t>Señora Presidenta</w:t>
      </w:r>
    </w:p>
    <w:p w14:paraId="1AB76C33" w14:textId="77777777" w:rsidR="00E9130A" w:rsidRPr="00E9130A" w:rsidRDefault="00E9130A" w:rsidP="00E9130A">
      <w:pPr>
        <w:spacing w:line="360" w:lineRule="auto"/>
        <w:jc w:val="both"/>
        <w:rPr>
          <w:rFonts w:ascii="Cambria" w:hAnsi="Cambria" w:cs="Arial"/>
          <w:color w:val="000000" w:themeColor="text1"/>
          <w:sz w:val="18"/>
          <w:szCs w:val="18"/>
          <w:lang w:val="es-ES"/>
        </w:rPr>
      </w:pPr>
    </w:p>
    <w:p w14:paraId="09BE92CF" w14:textId="77777777" w:rsidR="00E9130A" w:rsidRPr="00E9130A" w:rsidRDefault="00E9130A" w:rsidP="00E9130A">
      <w:pPr>
        <w:spacing w:line="360" w:lineRule="auto"/>
        <w:jc w:val="both"/>
        <w:rPr>
          <w:rFonts w:ascii="Cambria" w:hAnsi="Cambria" w:cs="Arial"/>
          <w:color w:val="000000" w:themeColor="text1"/>
          <w:sz w:val="18"/>
          <w:szCs w:val="18"/>
          <w:lang w:val="es-ES"/>
        </w:rPr>
      </w:pPr>
      <w:r w:rsidRPr="00E9130A">
        <w:rPr>
          <w:rFonts w:ascii="Cambria" w:hAnsi="Cambria" w:cs="Arial"/>
          <w:color w:val="000000" w:themeColor="text1"/>
          <w:sz w:val="18"/>
          <w:szCs w:val="18"/>
          <w:lang w:val="es-ES"/>
        </w:rPr>
        <w:t>El Estado de Honduras continua sus esfuerzos para el fortalecimiento del Estado de Derecho y la gobernabilidad, destacando las principales normas aprobadas por el Congreso Nacional durante el período examinado:</w:t>
      </w:r>
    </w:p>
    <w:p w14:paraId="6F12BE1A" w14:textId="77777777" w:rsidR="00E9130A" w:rsidRPr="00E9130A" w:rsidRDefault="00E9130A" w:rsidP="00E9130A">
      <w:pPr>
        <w:spacing w:line="360" w:lineRule="auto"/>
        <w:jc w:val="both"/>
        <w:rPr>
          <w:rFonts w:ascii="Cambria" w:hAnsi="Cambria" w:cs="Arial"/>
          <w:color w:val="000000" w:themeColor="text1"/>
          <w:sz w:val="18"/>
          <w:szCs w:val="18"/>
          <w:lang w:val="es-ES"/>
        </w:rPr>
      </w:pPr>
    </w:p>
    <w:p w14:paraId="3D13E069" w14:textId="77777777" w:rsidR="00E9130A" w:rsidRPr="00C92CF3" w:rsidRDefault="00E9130A" w:rsidP="00E9130A">
      <w:pPr>
        <w:spacing w:line="360" w:lineRule="auto"/>
        <w:jc w:val="both"/>
        <w:rPr>
          <w:rFonts w:ascii="Cambria" w:hAnsi="Cambria" w:cs="Arial"/>
          <w:color w:val="000000" w:themeColor="text1"/>
          <w:sz w:val="18"/>
          <w:szCs w:val="18"/>
          <w:lang w:val="es-ES"/>
        </w:rPr>
      </w:pPr>
      <w:r w:rsidRPr="00E9130A">
        <w:rPr>
          <w:rFonts w:ascii="Cambria" w:hAnsi="Cambria" w:cs="Arial"/>
          <w:color w:val="000000" w:themeColor="text1"/>
          <w:sz w:val="18"/>
          <w:szCs w:val="18"/>
          <w:lang w:val="es-ES"/>
        </w:rPr>
        <w:t xml:space="preserve">Se ratificó, entre otros, el </w:t>
      </w:r>
      <w:r w:rsidRPr="00E9130A">
        <w:rPr>
          <w:rFonts w:ascii="Cambria" w:eastAsia="Times New Roman" w:hAnsi="Cambria" w:cs="Arial"/>
          <w:color w:val="000000" w:themeColor="text1"/>
          <w:sz w:val="18"/>
          <w:szCs w:val="18"/>
          <w:lang w:val="es-ES"/>
        </w:rPr>
        <w:t xml:space="preserve">Tratado de Naciones Unidas sobre Comercio de Armas en 2015 y el </w:t>
      </w:r>
      <w:r w:rsidRPr="00C92CF3">
        <w:rPr>
          <w:rFonts w:ascii="Cambria" w:hAnsi="Cambria" w:cs="Arial"/>
          <w:color w:val="000000" w:themeColor="text1"/>
          <w:sz w:val="18"/>
          <w:szCs w:val="18"/>
          <w:lang w:val="es-ES"/>
        </w:rPr>
        <w:t>Pacto Internacional sobre Derechos Económicos, Sociales y Culturales en 2017. El 24 de octubre de este año, fecha que conmemora los 75 años de la Organización de las Naciones Unidas, se ratificó el Tratado para la prohibición de Armas Nucleares, convirtiéndose Honduras, en el 50° Estado en hacerlo y permitiendo de esta forma su entrada en vigor.</w:t>
      </w:r>
    </w:p>
    <w:p w14:paraId="3E94E473" w14:textId="77777777" w:rsidR="00E9130A" w:rsidRPr="00C92CF3" w:rsidRDefault="00E9130A" w:rsidP="00E9130A">
      <w:pPr>
        <w:spacing w:line="360" w:lineRule="auto"/>
        <w:jc w:val="both"/>
        <w:rPr>
          <w:rFonts w:ascii="Cambria" w:hAnsi="Cambria" w:cs="Arial"/>
          <w:color w:val="000000" w:themeColor="text1"/>
          <w:sz w:val="18"/>
          <w:szCs w:val="18"/>
          <w:lang w:val="es-ES"/>
        </w:rPr>
      </w:pPr>
    </w:p>
    <w:p w14:paraId="710CF47A" w14:textId="77777777" w:rsidR="00E9130A" w:rsidRPr="00C92CF3" w:rsidRDefault="00E9130A" w:rsidP="00E9130A">
      <w:p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Se han aprobado las siguientes leyes:</w:t>
      </w:r>
    </w:p>
    <w:p w14:paraId="190BF152" w14:textId="77777777" w:rsidR="00E9130A" w:rsidRPr="00C92CF3" w:rsidRDefault="00E9130A" w:rsidP="00E9130A">
      <w:pPr>
        <w:pStyle w:val="ListParagraph"/>
        <w:numPr>
          <w:ilvl w:val="0"/>
          <w:numId w:val="1"/>
        </w:num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 xml:space="preserve">Ley Especial de Órganos Jurisdiccionales con Competencia Territorial Nacional en Materia Penal; </w:t>
      </w:r>
    </w:p>
    <w:p w14:paraId="7A359A25" w14:textId="77777777" w:rsidR="00E9130A" w:rsidRPr="00C92CF3" w:rsidRDefault="00E9130A" w:rsidP="00E9130A">
      <w:pPr>
        <w:pStyle w:val="ListParagraph"/>
        <w:numPr>
          <w:ilvl w:val="0"/>
          <w:numId w:val="1"/>
        </w:num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Ley de Policía con un enfoque de Policía Comunitaria; y la Ley de la Carrera Policial;</w:t>
      </w:r>
    </w:p>
    <w:p w14:paraId="756788F4" w14:textId="77777777" w:rsidR="00E9130A" w:rsidRPr="00C92CF3" w:rsidRDefault="00E9130A" w:rsidP="00E9130A">
      <w:pPr>
        <w:pStyle w:val="ListParagraph"/>
        <w:numPr>
          <w:ilvl w:val="0"/>
          <w:numId w:val="1"/>
        </w:num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Ley Especial de Adopciones y Reforma a la Ley Especial para una Maternidad y Paternidad Responsable;</w:t>
      </w:r>
    </w:p>
    <w:p w14:paraId="1FFE013D" w14:textId="77777777" w:rsidR="00E9130A" w:rsidRPr="00C92CF3" w:rsidRDefault="00E9130A" w:rsidP="00E9130A">
      <w:pPr>
        <w:pStyle w:val="ListParagraph"/>
        <w:numPr>
          <w:ilvl w:val="0"/>
          <w:numId w:val="1"/>
        </w:numPr>
        <w:spacing w:line="360" w:lineRule="auto"/>
        <w:jc w:val="both"/>
        <w:rPr>
          <w:rFonts w:ascii="Cambria" w:eastAsia="Arial" w:hAnsi="Cambria" w:cs="Arial"/>
          <w:bCs/>
          <w:color w:val="000000" w:themeColor="text1"/>
          <w:sz w:val="18"/>
          <w:szCs w:val="18"/>
          <w:lang w:val="es-ES_tradnl"/>
        </w:rPr>
      </w:pPr>
      <w:r w:rsidRPr="00C92CF3">
        <w:rPr>
          <w:rFonts w:ascii="Cambria" w:eastAsia="Arial" w:hAnsi="Cambria" w:cs="Arial"/>
          <w:bCs/>
          <w:color w:val="000000" w:themeColor="text1"/>
          <w:sz w:val="18"/>
          <w:szCs w:val="18"/>
          <w:lang w:val="es-ES_tradnl"/>
        </w:rPr>
        <w:t>Ley de Medidas Especiales de Difusión, Prevención, y Atención de la Violencia Contra la Mujer, y Acciones para Garantizar la Igualdad de Género durante la Vigencia de la Emergencia Nacional Declarada a raíz de la Pandemia COVID-19;</w:t>
      </w:r>
    </w:p>
    <w:p w14:paraId="6E8239BA" w14:textId="77777777" w:rsidR="00E9130A" w:rsidRPr="00033CFD" w:rsidRDefault="00E9130A" w:rsidP="00E9130A">
      <w:pPr>
        <w:pStyle w:val="ListParagraph"/>
        <w:numPr>
          <w:ilvl w:val="0"/>
          <w:numId w:val="1"/>
        </w:numPr>
        <w:spacing w:line="360" w:lineRule="auto"/>
        <w:jc w:val="both"/>
        <w:rPr>
          <w:rFonts w:ascii="Cambria" w:hAnsi="Cambria" w:cs="Arial"/>
          <w:color w:val="000000" w:themeColor="text1"/>
          <w:sz w:val="18"/>
          <w:szCs w:val="18"/>
        </w:rPr>
      </w:pPr>
      <w:r w:rsidRPr="00C92CF3">
        <w:rPr>
          <w:rFonts w:ascii="Cambria" w:hAnsi="Cambria" w:cs="Arial"/>
          <w:color w:val="000000" w:themeColor="text1"/>
          <w:sz w:val="18"/>
          <w:szCs w:val="18"/>
        </w:rPr>
        <w:t>Ley de Auxilio al Sector Productivo y a los Trabajadores ante los Efectos de la Pandemia Provocada por el COVID-19,</w:t>
      </w:r>
    </w:p>
    <w:p w14:paraId="14ED9A18" w14:textId="77777777" w:rsidR="00E9130A" w:rsidRPr="00C92CF3" w:rsidRDefault="00E9130A" w:rsidP="00E9130A">
      <w:pPr>
        <w:pStyle w:val="ListParagraph"/>
        <w:numPr>
          <w:ilvl w:val="0"/>
          <w:numId w:val="1"/>
        </w:numPr>
        <w:spacing w:line="360" w:lineRule="auto"/>
        <w:jc w:val="both"/>
        <w:rPr>
          <w:rFonts w:ascii="Cambria" w:eastAsia="Arial" w:hAnsi="Cambria" w:cs="Arial"/>
          <w:b/>
          <w:bCs/>
          <w:color w:val="000000" w:themeColor="text1"/>
          <w:sz w:val="18"/>
          <w:szCs w:val="18"/>
        </w:rPr>
      </w:pPr>
      <w:r w:rsidRPr="00C92CF3">
        <w:rPr>
          <w:rFonts w:ascii="Cambria" w:hAnsi="Cambria" w:cs="Arial"/>
          <w:bCs/>
          <w:color w:val="000000" w:themeColor="text1"/>
          <w:sz w:val="18"/>
          <w:szCs w:val="18"/>
          <w:lang w:val="es-ES_tradnl"/>
        </w:rPr>
        <w:t xml:space="preserve">El </w:t>
      </w:r>
      <w:r w:rsidRPr="00C92CF3">
        <w:rPr>
          <w:rFonts w:ascii="Cambria" w:hAnsi="Cambria" w:cs="Arial"/>
          <w:bCs/>
          <w:color w:val="000000" w:themeColor="text1"/>
          <w:sz w:val="18"/>
          <w:szCs w:val="18"/>
        </w:rPr>
        <w:t>Decreto No.60-2020,</w:t>
      </w:r>
      <w:r w:rsidRPr="00C92CF3">
        <w:rPr>
          <w:rFonts w:ascii="Cambria" w:eastAsia="Arial" w:hAnsi="Cambria" w:cs="Arial"/>
          <w:bCs/>
          <w:color w:val="000000" w:themeColor="text1"/>
          <w:sz w:val="18"/>
          <w:szCs w:val="18"/>
        </w:rPr>
        <w:t xml:space="preserve"> relacionado</w:t>
      </w:r>
      <w:r w:rsidRPr="00C92CF3">
        <w:rPr>
          <w:rFonts w:ascii="Cambria" w:eastAsia="Arial" w:hAnsi="Cambria" w:cs="Arial"/>
          <w:color w:val="000000" w:themeColor="text1"/>
          <w:sz w:val="18"/>
          <w:szCs w:val="18"/>
        </w:rPr>
        <w:t xml:space="preserve"> a la implementación </w:t>
      </w:r>
      <w:r w:rsidRPr="00C92CF3">
        <w:rPr>
          <w:rFonts w:ascii="Cambria" w:hAnsi="Cambria" w:cs="Arial"/>
          <w:bCs/>
          <w:color w:val="000000" w:themeColor="text1"/>
          <w:sz w:val="18"/>
          <w:szCs w:val="18"/>
          <w:lang w:val="es-ES_tradnl"/>
        </w:rPr>
        <w:t>de</w:t>
      </w:r>
      <w:r w:rsidRPr="00C92CF3">
        <w:rPr>
          <w:rFonts w:ascii="Cambria" w:hAnsi="Cambria" w:cs="Arial"/>
          <w:color w:val="000000" w:themeColor="text1"/>
          <w:sz w:val="18"/>
          <w:szCs w:val="18"/>
          <w:lang w:val="es-ES_tradnl"/>
        </w:rPr>
        <w:t xml:space="preserve"> </w:t>
      </w:r>
      <w:r w:rsidRPr="00C92CF3">
        <w:rPr>
          <w:rFonts w:ascii="Cambria" w:eastAsia="Arial" w:hAnsi="Cambria" w:cs="Arial"/>
          <w:bCs/>
          <w:color w:val="000000" w:themeColor="text1"/>
          <w:sz w:val="18"/>
          <w:szCs w:val="18"/>
        </w:rPr>
        <w:t>medidas que faciliten la educación pública escolar no presencial, a través de medios digitales durante la emergencia por la COVID-19 y otras pandemias o desastres naturales</w:t>
      </w:r>
      <w:r w:rsidRPr="00C92CF3">
        <w:rPr>
          <w:rFonts w:ascii="Cambria" w:eastAsia="Arial" w:hAnsi="Cambria" w:cs="Arial"/>
          <w:b/>
          <w:bCs/>
          <w:color w:val="000000" w:themeColor="text1"/>
          <w:sz w:val="18"/>
          <w:szCs w:val="18"/>
        </w:rPr>
        <w:t>.</w:t>
      </w:r>
    </w:p>
    <w:p w14:paraId="7A3D5891" w14:textId="77777777" w:rsidR="00E9130A" w:rsidRPr="00C92CF3" w:rsidRDefault="00E9130A" w:rsidP="00E9130A">
      <w:pPr>
        <w:pStyle w:val="ListParagraph"/>
        <w:numPr>
          <w:ilvl w:val="0"/>
          <w:numId w:val="1"/>
        </w:numPr>
        <w:spacing w:line="360" w:lineRule="auto"/>
        <w:jc w:val="both"/>
        <w:rPr>
          <w:rFonts w:ascii="Cambria" w:eastAsia="Arial" w:hAnsi="Cambria" w:cs="Arial"/>
          <w:b/>
          <w:bCs/>
          <w:color w:val="000000" w:themeColor="text1"/>
          <w:sz w:val="18"/>
          <w:szCs w:val="18"/>
        </w:rPr>
      </w:pPr>
      <w:r w:rsidRPr="00C92CF3">
        <w:rPr>
          <w:rFonts w:ascii="Cambria" w:eastAsia="Arial" w:hAnsi="Cambria" w:cs="Arial"/>
          <w:bCs/>
          <w:color w:val="000000" w:themeColor="text1"/>
          <w:sz w:val="18"/>
          <w:szCs w:val="18"/>
        </w:rPr>
        <w:t xml:space="preserve">El </w:t>
      </w:r>
      <w:r w:rsidRPr="00C92CF3">
        <w:rPr>
          <w:rFonts w:ascii="Cambria" w:hAnsi="Cambria" w:cs="Arial"/>
          <w:bCs/>
          <w:color w:val="000000" w:themeColor="text1"/>
          <w:sz w:val="18"/>
          <w:szCs w:val="18"/>
        </w:rPr>
        <w:t>Decreto No. 36-2020,</w:t>
      </w:r>
      <w:r w:rsidRPr="00C92CF3">
        <w:rPr>
          <w:rFonts w:ascii="Cambria" w:hAnsi="Cambria" w:cs="Arial"/>
          <w:color w:val="000000" w:themeColor="text1"/>
          <w:sz w:val="18"/>
          <w:szCs w:val="18"/>
        </w:rPr>
        <w:t xml:space="preserve"> reforma al Artículo 184 del Código Procesal Penal,; </w:t>
      </w:r>
    </w:p>
    <w:p w14:paraId="1E7BA851" w14:textId="77777777" w:rsidR="00E9130A" w:rsidRPr="00C92CF3" w:rsidRDefault="00E9130A" w:rsidP="00E9130A">
      <w:pPr>
        <w:pStyle w:val="ListParagraph"/>
        <w:numPr>
          <w:ilvl w:val="0"/>
          <w:numId w:val="1"/>
        </w:numPr>
        <w:spacing w:line="360" w:lineRule="auto"/>
        <w:jc w:val="both"/>
        <w:rPr>
          <w:rFonts w:ascii="Cambria" w:eastAsia="Times New Roman" w:hAnsi="Cambria" w:cs="Arial"/>
          <w:color w:val="000000" w:themeColor="text1"/>
          <w:sz w:val="18"/>
          <w:szCs w:val="18"/>
        </w:rPr>
      </w:pPr>
      <w:r w:rsidRPr="00C92CF3">
        <w:rPr>
          <w:rFonts w:ascii="Cambria" w:eastAsia="Times New Roman" w:hAnsi="Cambria" w:cs="Arial"/>
          <w:color w:val="000000" w:themeColor="text1"/>
          <w:sz w:val="18"/>
          <w:szCs w:val="18"/>
        </w:rPr>
        <w:t>La reforma constitucional en 2019 creó el Consejo Nacional Electoral y el Tribunal de Justicia Electoral;</w:t>
      </w:r>
    </w:p>
    <w:p w14:paraId="08F4E5CC" w14:textId="77777777" w:rsidR="00E9130A" w:rsidRPr="00C92CF3" w:rsidRDefault="00E9130A" w:rsidP="00E9130A">
      <w:pPr>
        <w:pStyle w:val="ListParagraph"/>
        <w:numPr>
          <w:ilvl w:val="0"/>
          <w:numId w:val="1"/>
        </w:numPr>
        <w:spacing w:line="360" w:lineRule="auto"/>
        <w:jc w:val="both"/>
        <w:rPr>
          <w:rFonts w:ascii="Cambria" w:eastAsia="Times New Roman" w:hAnsi="Cambria" w:cs="Arial"/>
          <w:color w:val="000000" w:themeColor="text1"/>
          <w:sz w:val="18"/>
          <w:szCs w:val="18"/>
          <w:lang w:eastAsia="es-HN"/>
        </w:rPr>
      </w:pPr>
      <w:r w:rsidRPr="00C92CF3">
        <w:rPr>
          <w:rFonts w:ascii="Cambria" w:eastAsia="Times New Roman" w:hAnsi="Cambria" w:cs="Arial"/>
          <w:color w:val="000000" w:themeColor="text1"/>
          <w:sz w:val="18"/>
          <w:szCs w:val="18"/>
          <w:lang w:eastAsia="es-ES_tradnl"/>
        </w:rPr>
        <w:t xml:space="preserve">La reforma a la Ley del </w:t>
      </w:r>
      <w:r w:rsidRPr="00C92CF3">
        <w:rPr>
          <w:rFonts w:ascii="Cambria" w:eastAsia="Times New Roman" w:hAnsi="Cambria" w:cs="Arial"/>
          <w:color w:val="000000" w:themeColor="text1"/>
          <w:sz w:val="18"/>
          <w:szCs w:val="18"/>
        </w:rPr>
        <w:t>Registro Nacional de las Personas</w:t>
      </w:r>
      <w:bookmarkStart w:id="0" w:name="_Toc13151449"/>
      <w:bookmarkStart w:id="1" w:name="_Toc15930719"/>
      <w:bookmarkStart w:id="2" w:name="_Toc15933629"/>
      <w:r w:rsidRPr="00C92CF3">
        <w:rPr>
          <w:rFonts w:ascii="Cambria" w:eastAsia="Times New Roman" w:hAnsi="Cambria" w:cs="Arial"/>
          <w:color w:val="000000" w:themeColor="text1"/>
          <w:sz w:val="18"/>
          <w:szCs w:val="18"/>
        </w:rPr>
        <w:t xml:space="preserve"> ha permittido el fortalecimiento institucional; a través del Proyecto </w:t>
      </w:r>
      <w:r w:rsidRPr="00C92CF3">
        <w:rPr>
          <w:rFonts w:ascii="Cambria" w:hAnsi="Cambria" w:cs="Arial"/>
          <w:i/>
          <w:iCs/>
          <w:color w:val="000000" w:themeColor="text1"/>
          <w:sz w:val="18"/>
          <w:szCs w:val="18"/>
        </w:rPr>
        <w:t>“Identifícate”</w:t>
      </w:r>
      <w:bookmarkEnd w:id="0"/>
      <w:bookmarkEnd w:id="1"/>
      <w:bookmarkEnd w:id="2"/>
      <w:r w:rsidRPr="00C92CF3">
        <w:rPr>
          <w:rFonts w:ascii="Cambria" w:hAnsi="Cambria" w:cs="Arial"/>
          <w:i/>
          <w:iCs/>
          <w:color w:val="000000" w:themeColor="text1"/>
          <w:sz w:val="18"/>
          <w:szCs w:val="18"/>
        </w:rPr>
        <w:t xml:space="preserve"> </w:t>
      </w:r>
      <w:r w:rsidRPr="00C92CF3">
        <w:rPr>
          <w:rFonts w:ascii="Cambria" w:hAnsi="Cambria" w:cs="Arial"/>
          <w:color w:val="000000" w:themeColor="text1"/>
          <w:sz w:val="18"/>
          <w:szCs w:val="18"/>
        </w:rPr>
        <w:t>se implulsa la emisión del</w:t>
      </w:r>
      <w:r w:rsidRPr="00C92CF3">
        <w:rPr>
          <w:rFonts w:ascii="Cambria" w:hAnsi="Cambria" w:cs="Arial"/>
          <w:i/>
          <w:iCs/>
          <w:color w:val="000000" w:themeColor="text1"/>
          <w:sz w:val="18"/>
          <w:szCs w:val="18"/>
        </w:rPr>
        <w:t xml:space="preserve"> </w:t>
      </w:r>
      <w:r w:rsidRPr="00C92CF3">
        <w:rPr>
          <w:rFonts w:ascii="Cambria" w:eastAsia="Times New Roman" w:hAnsi="Cambria" w:cs="Arial"/>
          <w:color w:val="000000" w:themeColor="text1"/>
          <w:sz w:val="18"/>
          <w:szCs w:val="18"/>
          <w:lang w:eastAsia="es-HN"/>
        </w:rPr>
        <w:t>Documento Nacional de Identificación (DNI)</w:t>
      </w:r>
      <w:r w:rsidRPr="00C92CF3">
        <w:rPr>
          <w:rFonts w:ascii="Cambria" w:hAnsi="Cambria" w:cs="Arial"/>
          <w:color w:val="000000" w:themeColor="text1"/>
          <w:sz w:val="18"/>
          <w:szCs w:val="18"/>
          <w:lang w:val="es-ES" w:eastAsia="es-HN"/>
        </w:rPr>
        <w:t xml:space="preserve">, que contribuirá a </w:t>
      </w:r>
      <w:r w:rsidRPr="00C92CF3">
        <w:rPr>
          <w:rFonts w:ascii="Cambria" w:eastAsia="Times New Roman" w:hAnsi="Cambria" w:cs="Arial"/>
          <w:color w:val="000000" w:themeColor="text1"/>
          <w:sz w:val="18"/>
          <w:szCs w:val="18"/>
          <w:lang w:eastAsia="es-HN"/>
        </w:rPr>
        <w:t>lograr un censo nacional electoral debidamente depurado y actualizado que brinde integridad y transparencia a l</w:t>
      </w:r>
      <w:r w:rsidRPr="00C92CF3">
        <w:rPr>
          <w:rFonts w:ascii="Cambria" w:hAnsi="Cambria" w:cs="Arial"/>
          <w:color w:val="000000" w:themeColor="text1"/>
          <w:sz w:val="18"/>
          <w:szCs w:val="18"/>
          <w:lang w:val="es-ES" w:eastAsia="es-HN"/>
        </w:rPr>
        <w:t>os</w:t>
      </w:r>
      <w:r w:rsidRPr="00C92CF3">
        <w:rPr>
          <w:rFonts w:ascii="Cambria" w:eastAsia="Times New Roman" w:hAnsi="Cambria" w:cs="Arial"/>
          <w:color w:val="000000" w:themeColor="text1"/>
          <w:sz w:val="18"/>
          <w:szCs w:val="18"/>
          <w:lang w:eastAsia="es-HN"/>
        </w:rPr>
        <w:t xml:space="preserve"> futu</w:t>
      </w:r>
      <w:r w:rsidRPr="00C92CF3">
        <w:rPr>
          <w:rFonts w:ascii="Cambria" w:hAnsi="Cambria" w:cs="Arial"/>
          <w:color w:val="000000" w:themeColor="text1"/>
          <w:sz w:val="18"/>
          <w:szCs w:val="18"/>
          <w:lang w:val="es-ES" w:eastAsia="es-HN"/>
        </w:rPr>
        <w:t>ro</w:t>
      </w:r>
      <w:r w:rsidRPr="00C92CF3">
        <w:rPr>
          <w:rFonts w:ascii="Cambria" w:eastAsia="Times New Roman" w:hAnsi="Cambria" w:cs="Arial"/>
          <w:color w:val="000000" w:themeColor="text1"/>
          <w:sz w:val="18"/>
          <w:szCs w:val="18"/>
          <w:lang w:eastAsia="es-HN"/>
        </w:rPr>
        <w:t xml:space="preserve">s </w:t>
      </w:r>
      <w:r w:rsidRPr="00C92CF3">
        <w:rPr>
          <w:rFonts w:ascii="Cambria" w:hAnsi="Cambria" w:cs="Arial"/>
          <w:color w:val="000000" w:themeColor="text1"/>
          <w:sz w:val="18"/>
          <w:szCs w:val="18"/>
          <w:lang w:val="es-ES" w:eastAsia="es-HN"/>
        </w:rPr>
        <w:t xml:space="preserve">procesos electorales. En la actualidad se registra un total de </w:t>
      </w:r>
      <w:r w:rsidRPr="00C92CF3">
        <w:rPr>
          <w:rFonts w:ascii="Cambria" w:eastAsia="Times New Roman" w:hAnsi="Cambria" w:cs="Arial"/>
          <w:color w:val="000000" w:themeColor="text1"/>
          <w:sz w:val="18"/>
          <w:szCs w:val="18"/>
          <w:lang w:eastAsia="es-HN"/>
        </w:rPr>
        <w:t>2.4 millones de ciudadanos mayores de 16 años enrolados.</w:t>
      </w:r>
    </w:p>
    <w:p w14:paraId="362089B1" w14:textId="77777777" w:rsidR="00E9130A" w:rsidRPr="00E9130A" w:rsidRDefault="00E9130A" w:rsidP="00E9130A">
      <w:pPr>
        <w:spacing w:line="360" w:lineRule="auto"/>
        <w:jc w:val="both"/>
        <w:rPr>
          <w:rFonts w:ascii="Cambria" w:hAnsi="Cambria" w:cs="Arial"/>
          <w:color w:val="000000" w:themeColor="text1"/>
          <w:sz w:val="18"/>
          <w:szCs w:val="18"/>
          <w:lang w:val="es-ES"/>
        </w:rPr>
      </w:pPr>
    </w:p>
    <w:p w14:paraId="194F2930" w14:textId="77777777" w:rsidR="00E9130A" w:rsidRPr="00E9130A" w:rsidRDefault="00E9130A" w:rsidP="00E9130A">
      <w:pPr>
        <w:spacing w:line="360" w:lineRule="auto"/>
        <w:jc w:val="both"/>
        <w:rPr>
          <w:rFonts w:ascii="Cambria" w:hAnsi="Cambria" w:cs="Arial"/>
          <w:color w:val="000000" w:themeColor="text1"/>
          <w:sz w:val="18"/>
          <w:szCs w:val="18"/>
          <w:lang w:val="es-ES"/>
        </w:rPr>
      </w:pPr>
      <w:r w:rsidRPr="00E9130A">
        <w:rPr>
          <w:rFonts w:ascii="Cambria" w:hAnsi="Cambria" w:cs="Arial"/>
          <w:color w:val="000000" w:themeColor="text1"/>
          <w:sz w:val="18"/>
          <w:szCs w:val="18"/>
          <w:lang w:val="es-ES"/>
        </w:rPr>
        <w:t>El  nuevo Código Penal, por primera vez regula los delitos contra los derechos de los trabajadores, estableciendo la Discriminación Laboral, Acoso Laboral Vertical, Explotación Laboral Infantil, Explotación Laboral Ilícita y Delito Contra la Seguridad de los Trabajadores;</w:t>
      </w:r>
    </w:p>
    <w:p w14:paraId="0CEBE0C5" w14:textId="1A9FEF0A" w:rsidR="00E9130A" w:rsidRDefault="00E9130A" w:rsidP="00E9130A">
      <w:pPr>
        <w:spacing w:line="360" w:lineRule="auto"/>
        <w:jc w:val="both"/>
        <w:rPr>
          <w:rFonts w:ascii="Cambria" w:hAnsi="Cambria" w:cs="Arial"/>
          <w:color w:val="000000" w:themeColor="text1"/>
          <w:sz w:val="18"/>
          <w:szCs w:val="18"/>
          <w:lang w:val="es-ES"/>
        </w:rPr>
      </w:pPr>
    </w:p>
    <w:p w14:paraId="04A2060A" w14:textId="56CE51F9" w:rsidR="00E9130A" w:rsidRDefault="00E9130A" w:rsidP="00E9130A">
      <w:pPr>
        <w:spacing w:line="360" w:lineRule="auto"/>
        <w:jc w:val="both"/>
        <w:rPr>
          <w:rFonts w:ascii="Cambria" w:hAnsi="Cambria" w:cs="Arial"/>
          <w:color w:val="000000" w:themeColor="text1"/>
          <w:sz w:val="18"/>
          <w:szCs w:val="18"/>
          <w:lang w:val="es-ES"/>
        </w:rPr>
      </w:pPr>
    </w:p>
    <w:p w14:paraId="442B9AF8" w14:textId="57E4E9F1" w:rsidR="00E9130A" w:rsidRDefault="00E9130A" w:rsidP="00E9130A">
      <w:pPr>
        <w:spacing w:line="360" w:lineRule="auto"/>
        <w:jc w:val="both"/>
        <w:rPr>
          <w:rFonts w:ascii="Cambria" w:hAnsi="Cambria" w:cs="Arial"/>
          <w:color w:val="000000" w:themeColor="text1"/>
          <w:sz w:val="18"/>
          <w:szCs w:val="18"/>
          <w:lang w:val="es-ES"/>
        </w:rPr>
      </w:pPr>
    </w:p>
    <w:p w14:paraId="03EFB831" w14:textId="1E79EA06" w:rsidR="00E9130A" w:rsidRDefault="00E9130A" w:rsidP="00E9130A">
      <w:pPr>
        <w:spacing w:line="360" w:lineRule="auto"/>
        <w:jc w:val="both"/>
        <w:rPr>
          <w:rFonts w:ascii="Cambria" w:hAnsi="Cambria" w:cs="Arial"/>
          <w:color w:val="000000" w:themeColor="text1"/>
          <w:sz w:val="18"/>
          <w:szCs w:val="18"/>
          <w:lang w:val="es-ES"/>
        </w:rPr>
      </w:pPr>
    </w:p>
    <w:p w14:paraId="4613A0D3" w14:textId="7A0DA4C7" w:rsidR="00E9130A" w:rsidRDefault="00E9130A" w:rsidP="00E9130A">
      <w:pPr>
        <w:spacing w:line="360" w:lineRule="auto"/>
        <w:jc w:val="both"/>
        <w:rPr>
          <w:rFonts w:ascii="Cambria" w:hAnsi="Cambria" w:cs="Arial"/>
          <w:color w:val="000000" w:themeColor="text1"/>
          <w:sz w:val="18"/>
          <w:szCs w:val="18"/>
          <w:lang w:val="es-ES"/>
        </w:rPr>
      </w:pPr>
    </w:p>
    <w:p w14:paraId="7877563C" w14:textId="15342406" w:rsidR="00E9130A" w:rsidRDefault="00E9130A" w:rsidP="00E9130A">
      <w:pPr>
        <w:spacing w:line="360" w:lineRule="auto"/>
        <w:jc w:val="both"/>
        <w:rPr>
          <w:rFonts w:ascii="Cambria" w:hAnsi="Cambria" w:cs="Arial"/>
          <w:color w:val="000000" w:themeColor="text1"/>
          <w:sz w:val="18"/>
          <w:szCs w:val="18"/>
          <w:lang w:val="es-ES"/>
        </w:rPr>
      </w:pPr>
    </w:p>
    <w:p w14:paraId="0C56C722" w14:textId="77777777" w:rsidR="00E9130A" w:rsidRPr="00E9130A" w:rsidRDefault="00E9130A" w:rsidP="00E9130A">
      <w:pPr>
        <w:spacing w:line="360" w:lineRule="auto"/>
        <w:jc w:val="both"/>
        <w:rPr>
          <w:rFonts w:ascii="Cambria" w:hAnsi="Cambria" w:cs="Arial"/>
          <w:color w:val="000000" w:themeColor="text1"/>
          <w:sz w:val="18"/>
          <w:szCs w:val="18"/>
          <w:lang w:val="es-ES"/>
        </w:rPr>
      </w:pPr>
    </w:p>
    <w:p w14:paraId="501AA03C" w14:textId="77777777" w:rsidR="00E9130A" w:rsidRPr="00E9130A" w:rsidRDefault="00E9130A" w:rsidP="00E9130A">
      <w:pPr>
        <w:spacing w:line="360" w:lineRule="auto"/>
        <w:jc w:val="both"/>
        <w:rPr>
          <w:rFonts w:ascii="Cambria" w:hAnsi="Cambria" w:cs="Arial"/>
          <w:color w:val="000000" w:themeColor="text1"/>
          <w:sz w:val="18"/>
          <w:szCs w:val="18"/>
          <w:lang w:val="es-ES"/>
        </w:rPr>
      </w:pPr>
      <w:r w:rsidRPr="00E9130A">
        <w:rPr>
          <w:rFonts w:ascii="Cambria" w:hAnsi="Cambria" w:cs="Arial"/>
          <w:color w:val="000000" w:themeColor="text1"/>
          <w:sz w:val="18"/>
          <w:szCs w:val="18"/>
          <w:lang w:val="es-ES"/>
        </w:rPr>
        <w:t xml:space="preserve">La interpretación del Código eleva la Violencia contra la Mujer a categoría de delito y crea un Capítulo Especial sobre Violencia Contra la Mujer;  incorpora el nuevo delito de Desplazamiento Forzado; un Título especial para regular los delitos de Lesa Humanidad, estableciendo como delitos imprescriptibles los delitos contra la humanidad, tortura, desaparición forzada, trata de personas y explotación sexual de menores de dieciocho (18) años;  establece como circunstancias agravantes comunes cometer el delito por motivos racistas u otros relativos a la ideología, religión o creencias de la víctima, edad, lengua, situación familiar, etnia, raza o nación a la que pertenezca, su sexo, orientación sexual o identidad de género, razones de género, enfermedad o discapacidad. </w:t>
      </w:r>
    </w:p>
    <w:p w14:paraId="28820041" w14:textId="77777777" w:rsidR="00E9130A" w:rsidRPr="00E9130A" w:rsidRDefault="00E9130A" w:rsidP="00E9130A">
      <w:pPr>
        <w:spacing w:line="360" w:lineRule="auto"/>
        <w:jc w:val="both"/>
        <w:rPr>
          <w:rFonts w:ascii="Cambria" w:hAnsi="Cambria" w:cs="Arial"/>
          <w:color w:val="000000" w:themeColor="text1"/>
          <w:sz w:val="18"/>
          <w:szCs w:val="18"/>
          <w:lang w:val="es-ES"/>
        </w:rPr>
      </w:pPr>
    </w:p>
    <w:p w14:paraId="1E508B04" w14:textId="77777777" w:rsidR="00E9130A" w:rsidRPr="00E9130A" w:rsidRDefault="00E9130A" w:rsidP="00E9130A">
      <w:pPr>
        <w:spacing w:line="360" w:lineRule="auto"/>
        <w:jc w:val="both"/>
        <w:rPr>
          <w:rFonts w:ascii="Cambria" w:eastAsia="Times New Roman" w:hAnsi="Cambria" w:cs="Arial"/>
          <w:color w:val="000000" w:themeColor="text1"/>
          <w:sz w:val="18"/>
          <w:szCs w:val="18"/>
          <w:shd w:val="clear" w:color="auto" w:fill="FFFFFF"/>
          <w:lang w:val="es-ES" w:eastAsia="es-ES_tradnl"/>
        </w:rPr>
      </w:pPr>
      <w:r w:rsidRPr="00E9130A">
        <w:rPr>
          <w:rFonts w:ascii="Cambria" w:eastAsia="Times New Roman" w:hAnsi="Cambria" w:cs="Arial"/>
          <w:color w:val="000000" w:themeColor="text1"/>
          <w:sz w:val="18"/>
          <w:szCs w:val="18"/>
          <w:lang w:val="es-ES"/>
        </w:rPr>
        <w:t xml:space="preserve">En la actualidad se debate en el Congreso Nacional la nueva Ley Electoral. Destaco entre los avances </w:t>
      </w:r>
      <w:r w:rsidRPr="00E9130A">
        <w:rPr>
          <w:rFonts w:ascii="Cambria" w:eastAsia="Times New Roman" w:hAnsi="Cambria" w:cs="Arial"/>
          <w:color w:val="000000" w:themeColor="text1"/>
          <w:sz w:val="18"/>
          <w:szCs w:val="18"/>
          <w:shd w:val="clear" w:color="auto" w:fill="FFFFFF"/>
          <w:lang w:val="es-ES" w:eastAsia="es-ES_tradnl"/>
        </w:rPr>
        <w:t xml:space="preserve">la aprobación de los Artículos 72 al 75 mediante los cuales se deja plasmado el principio de paridad y alternancia en la participación política de la mujer. </w:t>
      </w:r>
    </w:p>
    <w:p w14:paraId="12F1E449" w14:textId="77777777" w:rsidR="00E9130A" w:rsidRPr="00E9130A" w:rsidRDefault="00E9130A" w:rsidP="00E9130A">
      <w:pPr>
        <w:spacing w:line="360" w:lineRule="auto"/>
        <w:jc w:val="both"/>
        <w:rPr>
          <w:rFonts w:ascii="Cambria" w:eastAsia="Times New Roman" w:hAnsi="Cambria" w:cs="Arial"/>
          <w:color w:val="000000" w:themeColor="text1"/>
          <w:sz w:val="18"/>
          <w:szCs w:val="18"/>
          <w:shd w:val="clear" w:color="auto" w:fill="FFFFFF"/>
          <w:lang w:val="es-ES" w:eastAsia="es-ES_tradnl"/>
        </w:rPr>
      </w:pPr>
    </w:p>
    <w:p w14:paraId="64CF711A" w14:textId="77777777" w:rsidR="00E9130A" w:rsidRPr="00E9130A" w:rsidRDefault="00E9130A" w:rsidP="00E9130A">
      <w:pPr>
        <w:shd w:val="clear" w:color="auto" w:fill="FFFFFF"/>
        <w:spacing w:line="360" w:lineRule="auto"/>
        <w:jc w:val="both"/>
        <w:textAlignment w:val="baseline"/>
        <w:rPr>
          <w:rFonts w:ascii="Cambria" w:eastAsia="Times New Roman" w:hAnsi="Cambria"/>
          <w:color w:val="000000" w:themeColor="text1"/>
          <w:sz w:val="18"/>
          <w:szCs w:val="18"/>
          <w:lang w:val="es-ES"/>
        </w:rPr>
      </w:pPr>
      <w:r w:rsidRPr="00E9130A">
        <w:rPr>
          <w:rFonts w:ascii="Cambria" w:eastAsia="Times New Roman" w:hAnsi="Cambria" w:cs="Calibri"/>
          <w:color w:val="000000" w:themeColor="text1"/>
          <w:sz w:val="18"/>
          <w:szCs w:val="18"/>
          <w:shd w:val="clear" w:color="auto" w:fill="FFFFFF"/>
          <w:lang w:val="es-ES" w:eastAsia="es-ES_tradnl"/>
        </w:rPr>
        <w:t xml:space="preserve">Con respecto al Proyecto de Ley sobre Consulta Previa, Libre e Informada, la Comisión Especial informa que, previo a emitir un Dictamen sobre su contenido debe conducirse un amplio proceso de consulta y la garantía de cumplimiento de los compromisos en materia de derechos humanos; </w:t>
      </w:r>
    </w:p>
    <w:p w14:paraId="0532CF36" w14:textId="77777777" w:rsidR="00E9130A" w:rsidRPr="00E9130A" w:rsidRDefault="00E9130A" w:rsidP="00E9130A">
      <w:pPr>
        <w:rPr>
          <w:lang w:val="es-ES"/>
        </w:rPr>
      </w:pPr>
    </w:p>
    <w:p w14:paraId="23169D7D" w14:textId="1150EA2E" w:rsidR="00696C23" w:rsidRPr="00696C23" w:rsidRDefault="00696C23" w:rsidP="00696C23">
      <w:pPr>
        <w:pStyle w:val="Cuerpo"/>
        <w:spacing w:after="0" w:line="240" w:lineRule="auto"/>
        <w:ind w:firstLine="709"/>
        <w:jc w:val="right"/>
        <w:rPr>
          <w:rFonts w:ascii="Optima" w:eastAsia="Optima" w:hAnsi="Optima" w:cs="Optima"/>
          <w:sz w:val="11"/>
          <w:szCs w:val="11"/>
        </w:rPr>
      </w:pPr>
    </w:p>
    <w:sectPr w:rsidR="00696C23" w:rsidRPr="00696C23">
      <w:headerReference w:type="even" r:id="rId7"/>
      <w:headerReference w:type="default" r:id="rId8"/>
      <w:footerReference w:type="even" r:id="rId9"/>
      <w:footerReference w:type="default" r:id="rId10"/>
      <w:headerReference w:type="first" r:id="rId11"/>
      <w:footerReference w:type="first" r:id="rId12"/>
      <w:pgSz w:w="11900" w:h="16840"/>
      <w:pgMar w:top="1701" w:right="1327" w:bottom="568" w:left="1559" w:header="709"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F05DC" w14:textId="77777777" w:rsidR="00E67DC3" w:rsidRDefault="00E67DC3">
      <w:r>
        <w:separator/>
      </w:r>
    </w:p>
  </w:endnote>
  <w:endnote w:type="continuationSeparator" w:id="0">
    <w:p w14:paraId="0B9F64FA" w14:textId="77777777" w:rsidR="00E67DC3" w:rsidRDefault="00E6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6207482"/>
      <w:docPartObj>
        <w:docPartGallery w:val="Page Numbers (Bottom of Page)"/>
        <w:docPartUnique/>
      </w:docPartObj>
    </w:sdtPr>
    <w:sdtContent>
      <w:p w14:paraId="62C53180" w14:textId="697CCA4C" w:rsidR="00E9130A" w:rsidRDefault="00E9130A" w:rsidP="00215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17E4B" w14:textId="77777777" w:rsidR="00357257" w:rsidRDefault="00357257" w:rsidP="00E91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9879449"/>
      <w:docPartObj>
        <w:docPartGallery w:val="Page Numbers (Bottom of Page)"/>
        <w:docPartUnique/>
      </w:docPartObj>
    </w:sdtPr>
    <w:sdtContent>
      <w:p w14:paraId="13D276C3" w14:textId="12A9A421" w:rsidR="00E9130A" w:rsidRDefault="00E9130A" w:rsidP="00215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2D4037" w14:textId="77777777" w:rsidR="00DF5766" w:rsidRDefault="00DF576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49402" w14:textId="77777777" w:rsidR="00357257" w:rsidRDefault="0035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0A972" w14:textId="77777777" w:rsidR="00E67DC3" w:rsidRDefault="00E67DC3">
      <w:r>
        <w:separator/>
      </w:r>
    </w:p>
  </w:footnote>
  <w:footnote w:type="continuationSeparator" w:id="0">
    <w:p w14:paraId="248E72C6" w14:textId="77777777" w:rsidR="00E67DC3" w:rsidRDefault="00E6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63FB" w14:textId="77777777" w:rsidR="00357257" w:rsidRDefault="00357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8EB2" w14:textId="77777777" w:rsidR="00DF5766" w:rsidRDefault="006A5636">
    <w:pPr>
      <w:pStyle w:val="Header"/>
    </w:pPr>
    <w:r>
      <w:rPr>
        <w:noProof/>
      </w:rPr>
      <mc:AlternateContent>
        <mc:Choice Requires="wpg">
          <w:drawing>
            <wp:anchor distT="152400" distB="152400" distL="152400" distR="152400" simplePos="0" relativeHeight="251658240" behindDoc="1" locked="0" layoutInCell="1" allowOverlap="1" wp14:anchorId="4F505F67" wp14:editId="5968DEC3">
              <wp:simplePos x="0" y="0"/>
              <wp:positionH relativeFrom="page">
                <wp:posOffset>647064</wp:posOffset>
              </wp:positionH>
              <wp:positionV relativeFrom="page">
                <wp:posOffset>161290</wp:posOffset>
              </wp:positionV>
              <wp:extent cx="6400800" cy="1013460"/>
              <wp:effectExtent l="0" t="0" r="0" b="0"/>
              <wp:wrapNone/>
              <wp:docPr id="1073741828" name="officeArt object" descr="Group 6"/>
              <wp:cNvGraphicFramePr/>
              <a:graphic xmlns:a="http://schemas.openxmlformats.org/drawingml/2006/main">
                <a:graphicData uri="http://schemas.microsoft.com/office/word/2010/wordprocessingGroup">
                  <wpg:wgp>
                    <wpg:cNvGrpSpPr/>
                    <wpg:grpSpPr>
                      <a:xfrm>
                        <a:off x="0" y="0"/>
                        <a:ext cx="6400800" cy="1013460"/>
                        <a:chOff x="0" y="0"/>
                        <a:chExt cx="6400799" cy="1013459"/>
                      </a:xfrm>
                    </wpg:grpSpPr>
                    <pic:pic xmlns:pic="http://schemas.openxmlformats.org/drawingml/2006/picture">
                      <pic:nvPicPr>
                        <pic:cNvPr id="1073741825" name="Picture 1" descr="Picture 1"/>
                        <pic:cNvPicPr>
                          <a:picLocks noChangeAspect="1"/>
                        </pic:cNvPicPr>
                      </pic:nvPicPr>
                      <pic:blipFill>
                        <a:blip r:embed="rId1"/>
                        <a:stretch>
                          <a:fillRect/>
                        </a:stretch>
                      </pic:blipFill>
                      <pic:spPr>
                        <a:xfrm>
                          <a:off x="2421889" y="0"/>
                          <a:ext cx="1350011" cy="1013460"/>
                        </a:xfrm>
                        <a:prstGeom prst="rect">
                          <a:avLst/>
                        </a:prstGeom>
                        <a:ln w="12700" cap="flat">
                          <a:noFill/>
                          <a:miter lim="400000"/>
                        </a:ln>
                        <a:effectLst/>
                      </pic:spPr>
                    </pic:pic>
                    <pic:pic xmlns:pic="http://schemas.openxmlformats.org/drawingml/2006/picture">
                      <pic:nvPicPr>
                        <pic:cNvPr id="1073741826" name="Picture 2" descr="Picture 2"/>
                        <pic:cNvPicPr>
                          <a:picLocks noChangeAspect="1"/>
                        </pic:cNvPicPr>
                      </pic:nvPicPr>
                      <pic:blipFill>
                        <a:blip r:embed="rId2"/>
                        <a:stretch>
                          <a:fillRect/>
                        </a:stretch>
                      </pic:blipFill>
                      <pic:spPr>
                        <a:xfrm>
                          <a:off x="4343399" y="213359"/>
                          <a:ext cx="2057401" cy="534671"/>
                        </a:xfrm>
                        <a:prstGeom prst="rect">
                          <a:avLst/>
                        </a:prstGeom>
                        <a:ln w="12700" cap="flat">
                          <a:noFill/>
                          <a:miter lim="400000"/>
                        </a:ln>
                        <a:effectLst/>
                      </pic:spPr>
                    </pic:pic>
                    <pic:pic xmlns:pic="http://schemas.openxmlformats.org/drawingml/2006/picture">
                      <pic:nvPicPr>
                        <pic:cNvPr id="1073741827" name="Picture 3" descr="Picture 3"/>
                        <pic:cNvPicPr>
                          <a:picLocks noChangeAspect="1"/>
                        </pic:cNvPicPr>
                      </pic:nvPicPr>
                      <pic:blipFill>
                        <a:blip r:embed="rId3"/>
                        <a:stretch>
                          <a:fillRect/>
                        </a:stretch>
                      </pic:blipFill>
                      <pic:spPr>
                        <a:xfrm>
                          <a:off x="0" y="59054"/>
                          <a:ext cx="1943100" cy="878841"/>
                        </a:xfrm>
                        <a:prstGeom prst="rect">
                          <a:avLst/>
                        </a:prstGeom>
                        <a:ln w="12700" cap="flat">
                          <a:noFill/>
                          <a:miter lim="400000"/>
                        </a:ln>
                        <a:effectLst/>
                      </pic:spPr>
                    </pic:pic>
                  </wpg:wgp>
                </a:graphicData>
              </a:graphic>
            </wp:anchor>
          </w:drawing>
        </mc:Choice>
        <mc:Fallback>
          <w:pict>
            <v:group id="_x0000_s1026" style="visibility:visible;position:absolute;margin-left:50.9pt;margin-top:12.7pt;width:504.0pt;height:79.8pt;z-index:-251658240;mso-position-horizontal:absolute;mso-position-horizontal-relative:page;mso-position-vertical:absolute;mso-position-vertical-relative:page;mso-wrap-distance-left:12.0pt;mso-wrap-distance-top:12.0pt;mso-wrap-distance-right:12.0pt;mso-wrap-distance-bottom:12.0pt;" coordorigin="0,0" coordsize="6400799,1013460">
              <w10:wrap type="none" side="bothSides" anchorx="page" anchory="page"/>
              <v:shape id="_x0000_s1027" type="#_x0000_t75" style="position:absolute;left:2421890;top:0;width:1350010;height:1013460;">
                <v:imagedata r:id="rId4" o:title="image1.jpeg"/>
              </v:shape>
              <v:shape id="_x0000_s1028" type="#_x0000_t75" style="position:absolute;left:4343400;top:213360;width:2057400;height:534670;">
                <v:imagedata r:id="rId5" o:title="image2.jpeg"/>
              </v:shape>
              <v:shape id="_x0000_s1029" type="#_x0000_t75" style="position:absolute;left:0;top:59055;width:1943100;height:878840;">
                <v:imagedata r:id="rId6" o:title="image3.png"/>
              </v:shape>
            </v:group>
          </w:pict>
        </mc:Fallback>
      </mc:AlternateContent>
    </w:r>
    <w:r>
      <w:rPr>
        <w:noProof/>
      </w:rPr>
      <w:drawing>
        <wp:anchor distT="152400" distB="152400" distL="152400" distR="152400" simplePos="0" relativeHeight="251659264" behindDoc="1" locked="0" layoutInCell="1" allowOverlap="1" wp14:anchorId="2736D1B5" wp14:editId="7D17D1AF">
          <wp:simplePos x="0" y="0"/>
          <wp:positionH relativeFrom="page">
            <wp:posOffset>2361564</wp:posOffset>
          </wp:positionH>
          <wp:positionV relativeFrom="page">
            <wp:posOffset>9995534</wp:posOffset>
          </wp:positionV>
          <wp:extent cx="2672080" cy="467996"/>
          <wp:effectExtent l="0" t="0" r="0" b="0"/>
          <wp:wrapNone/>
          <wp:docPr id="1073741829" name="officeArt object" descr="Imagen 3"/>
          <wp:cNvGraphicFramePr/>
          <a:graphic xmlns:a="http://schemas.openxmlformats.org/drawingml/2006/main">
            <a:graphicData uri="http://schemas.openxmlformats.org/drawingml/2006/picture">
              <pic:pic xmlns:pic="http://schemas.openxmlformats.org/drawingml/2006/picture">
                <pic:nvPicPr>
                  <pic:cNvPr id="1073741829" name="Imagen 3" descr="Imagen 3"/>
                  <pic:cNvPicPr>
                    <a:picLocks noChangeAspect="1"/>
                  </pic:cNvPicPr>
                </pic:nvPicPr>
                <pic:blipFill>
                  <a:blip r:embed="rId7">
                    <a:alphaModFix amt="55000"/>
                  </a:blip>
                  <a:srcRect b="19111"/>
                  <a:stretch>
                    <a:fillRect/>
                  </a:stretch>
                </pic:blipFill>
                <pic:spPr>
                  <a:xfrm>
                    <a:off x="0" y="0"/>
                    <a:ext cx="2672080" cy="46799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352CD" w14:textId="77777777" w:rsidR="00357257" w:rsidRDefault="00357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34079"/>
    <w:multiLevelType w:val="hybridMultilevel"/>
    <w:tmpl w:val="5B0428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66"/>
    <w:rsid w:val="00056346"/>
    <w:rsid w:val="00080F39"/>
    <w:rsid w:val="00084CE1"/>
    <w:rsid w:val="000B02D4"/>
    <w:rsid w:val="000B21F3"/>
    <w:rsid w:val="000C1740"/>
    <w:rsid w:val="000E6DFB"/>
    <w:rsid w:val="000F4E13"/>
    <w:rsid w:val="00111CA1"/>
    <w:rsid w:val="00130C79"/>
    <w:rsid w:val="00143F87"/>
    <w:rsid w:val="00150DFE"/>
    <w:rsid w:val="00183EBA"/>
    <w:rsid w:val="001B07F3"/>
    <w:rsid w:val="001B624D"/>
    <w:rsid w:val="001E1204"/>
    <w:rsid w:val="001F1090"/>
    <w:rsid w:val="002029F5"/>
    <w:rsid w:val="00207816"/>
    <w:rsid w:val="00243899"/>
    <w:rsid w:val="00283AA9"/>
    <w:rsid w:val="00284D8B"/>
    <w:rsid w:val="00317993"/>
    <w:rsid w:val="00333B12"/>
    <w:rsid w:val="003377EE"/>
    <w:rsid w:val="00357257"/>
    <w:rsid w:val="00372400"/>
    <w:rsid w:val="00381448"/>
    <w:rsid w:val="00397AE3"/>
    <w:rsid w:val="00427FA9"/>
    <w:rsid w:val="004404AF"/>
    <w:rsid w:val="0046534D"/>
    <w:rsid w:val="00477BCF"/>
    <w:rsid w:val="0049618C"/>
    <w:rsid w:val="00496A46"/>
    <w:rsid w:val="004C41C0"/>
    <w:rsid w:val="004D0AE0"/>
    <w:rsid w:val="004D0C07"/>
    <w:rsid w:val="004D7FFB"/>
    <w:rsid w:val="00507291"/>
    <w:rsid w:val="00570956"/>
    <w:rsid w:val="005D20A5"/>
    <w:rsid w:val="005D29C8"/>
    <w:rsid w:val="005D7427"/>
    <w:rsid w:val="005E38E7"/>
    <w:rsid w:val="005F5A62"/>
    <w:rsid w:val="00603117"/>
    <w:rsid w:val="00696C23"/>
    <w:rsid w:val="006A5636"/>
    <w:rsid w:val="006A750C"/>
    <w:rsid w:val="006B4E57"/>
    <w:rsid w:val="006B641D"/>
    <w:rsid w:val="007100B4"/>
    <w:rsid w:val="00744D31"/>
    <w:rsid w:val="00785FB2"/>
    <w:rsid w:val="007D352E"/>
    <w:rsid w:val="0082254D"/>
    <w:rsid w:val="00843C13"/>
    <w:rsid w:val="00891B5B"/>
    <w:rsid w:val="008A64C5"/>
    <w:rsid w:val="008A777F"/>
    <w:rsid w:val="008D22BD"/>
    <w:rsid w:val="009348B0"/>
    <w:rsid w:val="009A788F"/>
    <w:rsid w:val="009D1D8B"/>
    <w:rsid w:val="00A20299"/>
    <w:rsid w:val="00A33479"/>
    <w:rsid w:val="00A756B8"/>
    <w:rsid w:val="00AF0F62"/>
    <w:rsid w:val="00B121A8"/>
    <w:rsid w:val="00B22C1B"/>
    <w:rsid w:val="00B24281"/>
    <w:rsid w:val="00B378FD"/>
    <w:rsid w:val="00B45B0C"/>
    <w:rsid w:val="00B6070F"/>
    <w:rsid w:val="00B66CA4"/>
    <w:rsid w:val="00B917E2"/>
    <w:rsid w:val="00C378FB"/>
    <w:rsid w:val="00C578D9"/>
    <w:rsid w:val="00C71629"/>
    <w:rsid w:val="00C94D48"/>
    <w:rsid w:val="00C95882"/>
    <w:rsid w:val="00CB56F5"/>
    <w:rsid w:val="00CE3CFE"/>
    <w:rsid w:val="00D1266A"/>
    <w:rsid w:val="00D15423"/>
    <w:rsid w:val="00D40480"/>
    <w:rsid w:val="00DC1C18"/>
    <w:rsid w:val="00DD1447"/>
    <w:rsid w:val="00DF5766"/>
    <w:rsid w:val="00E459E0"/>
    <w:rsid w:val="00E62A1B"/>
    <w:rsid w:val="00E67DC3"/>
    <w:rsid w:val="00E808EF"/>
    <w:rsid w:val="00E9130A"/>
    <w:rsid w:val="00E96A67"/>
    <w:rsid w:val="00EA541E"/>
    <w:rsid w:val="00EF581E"/>
    <w:rsid w:val="00F35C06"/>
    <w:rsid w:val="00F37D7E"/>
    <w:rsid w:val="00F4155E"/>
    <w:rsid w:val="00F51517"/>
    <w:rsid w:val="00F55788"/>
    <w:rsid w:val="00F65FAB"/>
    <w:rsid w:val="00F83A79"/>
    <w:rsid w:val="00FB181C"/>
    <w:rsid w:val="00FD727D"/>
    <w:rsid w:val="00FE6D76"/>
    <w:rsid w:val="00FF2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F795E"/>
  <w15:docId w15:val="{46068829-3079-E142-A67D-60B24BB3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ascii="Calibri" w:eastAsia="Calibri" w:hAnsi="Calibri" w:cs="Calibri"/>
      <w:color w:val="000000"/>
      <w:u w:color="000000"/>
      <w:lang w:val="es-ES_tradnl"/>
    </w:rPr>
  </w:style>
  <w:style w:type="paragraph" w:styleId="Footer">
    <w:name w:val="footer"/>
    <w:pPr>
      <w:tabs>
        <w:tab w:val="center" w:pos="4320"/>
        <w:tab w:val="right" w:pos="8640"/>
      </w:tabs>
    </w:pPr>
    <w:rPr>
      <w:rFonts w:ascii="Calibri" w:eastAsia="Calibri" w:hAnsi="Calibri" w:cs="Calibri"/>
      <w:color w:val="000000"/>
      <w:u w:color="000000"/>
      <w:lang w:val="es-ES_tradnl"/>
    </w:rPr>
  </w:style>
  <w:style w:type="character" w:customStyle="1" w:styleId="Ninguno">
    <w:name w:val="Ninguno"/>
  </w:style>
  <w:style w:type="paragraph" w:customStyle="1" w:styleId="Cuerpo">
    <w:name w:val="Cuerpo"/>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0B21F3"/>
    <w:rPr>
      <w:sz w:val="18"/>
      <w:szCs w:val="18"/>
    </w:rPr>
  </w:style>
  <w:style w:type="character" w:customStyle="1" w:styleId="BalloonTextChar">
    <w:name w:val="Balloon Text Char"/>
    <w:basedOn w:val="DefaultParagraphFont"/>
    <w:link w:val="BalloonText"/>
    <w:uiPriority w:val="99"/>
    <w:semiHidden/>
    <w:rsid w:val="000B21F3"/>
    <w:rPr>
      <w:sz w:val="18"/>
      <w:szCs w:val="18"/>
      <w:lang w:val="en-US" w:eastAsia="en-US"/>
    </w:rPr>
  </w:style>
  <w:style w:type="paragraph" w:styleId="ListParagraph">
    <w:name w:val="List Paragraph"/>
    <w:aliases w:val="Párrafo numerado,Premier,Paragrap,Paragraphe de liste1,normal,Bullets,References,Liste 1,Numbered List Paragraph,ReferencesCxSpLast,Paragraphe de liste,List Paragraph1,Normal2,Normal3,Normal4,Normal5,Normal6,Normal7,Numbered paragraph,3"/>
    <w:basedOn w:val="Normal"/>
    <w:link w:val="ListParagraphChar"/>
    <w:uiPriority w:val="34"/>
    <w:qFormat/>
    <w:rsid w:val="00E9130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HN"/>
    </w:rPr>
  </w:style>
  <w:style w:type="character" w:customStyle="1" w:styleId="ListParagraphChar">
    <w:name w:val="List Paragraph Char"/>
    <w:aliases w:val="Párrafo numerado Char,Premier Char,Paragrap Char,Paragraphe de liste1 Char,normal Char,Bullets Char,References Char,Liste 1 Char,Numbered List Paragraph Char,ReferencesCxSpLast Char,Paragraphe de liste Char,List Paragraph1 Char"/>
    <w:link w:val="ListParagraph"/>
    <w:uiPriority w:val="34"/>
    <w:qFormat/>
    <w:locked/>
    <w:rsid w:val="00E9130A"/>
    <w:rPr>
      <w:rFonts w:asciiTheme="minorHAnsi" w:eastAsiaTheme="minorEastAsia" w:hAnsiTheme="minorHAnsi" w:cstheme="minorBidi"/>
      <w:sz w:val="24"/>
      <w:szCs w:val="24"/>
      <w:bdr w:val="none" w:sz="0" w:space="0" w:color="auto"/>
      <w:lang w:val="es-HN" w:eastAsia="en-US"/>
    </w:rPr>
  </w:style>
  <w:style w:type="character" w:styleId="PageNumber">
    <w:name w:val="page number"/>
    <w:basedOn w:val="DefaultParagraphFont"/>
    <w:uiPriority w:val="99"/>
    <w:semiHidden/>
    <w:unhideWhenUsed/>
    <w:rsid w:val="00E9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png"/><Relationship Id="rId5" Type="http://schemas.openxmlformats.org/officeDocument/2006/relationships/image" Target="media/image20.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D52CF-82E9-4EBD-8F34-BF9C3402898E}"/>
</file>

<file path=customXml/itemProps2.xml><?xml version="1.0" encoding="utf-8"?>
<ds:datastoreItem xmlns:ds="http://schemas.openxmlformats.org/officeDocument/2006/customXml" ds:itemID="{96B1B65C-D967-4111-A038-638FDBAEAE29}"/>
</file>

<file path=customXml/itemProps3.xml><?xml version="1.0" encoding="utf-8"?>
<ds:datastoreItem xmlns:ds="http://schemas.openxmlformats.org/officeDocument/2006/customXml" ds:itemID="{94E5038A-B991-4766-BB42-43284E35117D}"/>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HONDURAS</cp:lastModifiedBy>
  <cp:revision>2</cp:revision>
  <cp:lastPrinted>2020-11-02T15:12:00Z</cp:lastPrinted>
  <dcterms:created xsi:type="dcterms:W3CDTF">2020-11-03T18:56:00Z</dcterms:created>
  <dcterms:modified xsi:type="dcterms:W3CDTF">2020-11-03T18:56:00Z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