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UPR 35th Session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Review of Kenya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Statement by Greece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Greece welcomes the delegation of Kenya to the UPR.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Greece would like to recommend that Kenya: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Further </w:t>
      </w:r>
      <w:r w:rsidDel="00000000" w:rsidR="00000000" w:rsidRPr="00000000">
        <w:rPr>
          <w:sz w:val="24"/>
          <w:szCs w:val="24"/>
          <w:rtl w:val="0"/>
        </w:rPr>
        <w:t xml:space="preserve"> the implementation of the Access to Information Act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developing the training on human rights as an integral component of the Police curriculum.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further measures towards ensuring the safety of journalists, as well as towards guaranteeing the freedoms of expression, press, association and peaceful assembly</w:t>
      </w:r>
    </w:p>
    <w:p w:rsidR="00000000" w:rsidDel="00000000" w:rsidP="00000000" w:rsidRDefault="00000000" w:rsidRPr="00000000" w14:paraId="0000000C">
      <w:pPr>
        <w:ind w:left="2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commend Kenya for the steps already taken to improve the Human Rights situation in the Country. </w:t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call on Kenya to continue on this path and address the remaining challenges, including regarding Civil Society space, </w:t>
      </w:r>
      <w:r w:rsidDel="00000000" w:rsidR="00000000" w:rsidRPr="00000000">
        <w:rPr>
          <w:sz w:val="24"/>
          <w:szCs w:val="24"/>
          <w:rtl w:val="0"/>
        </w:rPr>
        <w:t xml:space="preserve">the promotion of gender equality, and the combating of all forms of discrimination.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wish Kenya all success in implementing the recommendations they will accept today.</w:t>
      </w:r>
    </w:p>
    <w:p w:rsidR="00000000" w:rsidDel="00000000" w:rsidP="00000000" w:rsidRDefault="00000000" w:rsidRPr="00000000" w14:paraId="0000001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283D3-E129-48C1-81B6-63ABC5C5A0C3}"/>
</file>

<file path=customXml/itemProps2.xml><?xml version="1.0" encoding="utf-8"?>
<ds:datastoreItem xmlns:ds="http://schemas.openxmlformats.org/officeDocument/2006/customXml" ds:itemID="{5C255C03-0594-4879-A96E-D5A920511B18}"/>
</file>

<file path=customXml/itemProps3.xml><?xml version="1.0" encoding="utf-8"?>
<ds:datastoreItem xmlns:ds="http://schemas.openxmlformats.org/officeDocument/2006/customXml" ds:itemID="{3C062725-1774-4DA4-8AD2-6EB8C923D6E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