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D2EAD" w14:textId="77777777" w:rsidR="00003BF9" w:rsidRDefault="00003BF9" w:rsidP="00003BF9">
      <w:pPr>
        <w:pStyle w:val="uLinie"/>
        <w:spacing w:after="454"/>
        <w:rPr>
          <w:lang w:val="en-GB"/>
        </w:rPr>
      </w:pPr>
      <w:bookmarkStart w:id="0" w:name="_GoBack"/>
      <w:bookmarkEnd w:id="0"/>
    </w:p>
    <w:p w14:paraId="17448CF3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3BE0018C" w14:textId="77777777" w:rsidR="00003BF9" w:rsidRDefault="0036101B" w:rsidP="00003BF9">
      <w:pPr>
        <w:jc w:val="center"/>
        <w:rPr>
          <w:lang w:val="fr-CH"/>
        </w:rPr>
      </w:pPr>
      <w:r>
        <w:rPr>
          <w:lang w:val="fr-CH"/>
        </w:rPr>
        <w:t>3</w:t>
      </w:r>
      <w:r w:rsidR="00D67CF9">
        <w:rPr>
          <w:lang w:val="fr-CH"/>
        </w:rPr>
        <w:t>5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1BA82556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1CAD270A" w14:textId="77777777" w:rsidR="00887A4B" w:rsidRPr="00887A4B" w:rsidRDefault="00CE35D8" w:rsidP="00887A4B">
      <w:pPr>
        <w:spacing w:line="276" w:lineRule="auto"/>
        <w:jc w:val="center"/>
        <w:outlineLvl w:val="1"/>
        <w:rPr>
          <w:rFonts w:eastAsia="Times New Roman" w:cs="Arial"/>
          <w:b/>
          <w:bCs/>
          <w:kern w:val="28"/>
          <w:sz w:val="32"/>
          <w:szCs w:val="32"/>
          <w:lang w:val="fr-CH"/>
        </w:rPr>
      </w:pPr>
      <w:r>
        <w:rPr>
          <w:rFonts w:eastAsia="Times New Roman" w:cs="Arial"/>
          <w:b/>
          <w:bCs/>
          <w:kern w:val="28"/>
          <w:sz w:val="32"/>
          <w:szCs w:val="32"/>
          <w:lang w:val="fr-CH"/>
        </w:rPr>
        <w:t>S</w:t>
      </w:r>
      <w:r w:rsidR="0032472A">
        <w:rPr>
          <w:rFonts w:eastAsia="Times New Roman" w:cs="Arial"/>
          <w:b/>
          <w:bCs/>
          <w:kern w:val="28"/>
          <w:sz w:val="32"/>
          <w:szCs w:val="32"/>
          <w:lang w:val="fr-CH"/>
        </w:rPr>
        <w:t>uède</w:t>
      </w:r>
    </w:p>
    <w:p w14:paraId="39BF7975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01A35AA5" w14:textId="77777777" w:rsidR="00003BF9" w:rsidRDefault="00D67C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Genève, le </w:t>
      </w:r>
      <w:r w:rsidR="00052417">
        <w:rPr>
          <w:sz w:val="20"/>
          <w:szCs w:val="20"/>
          <w:lang w:val="fr-CH"/>
        </w:rPr>
        <w:t>2</w:t>
      </w:r>
      <w:r w:rsidR="000A4C7A">
        <w:rPr>
          <w:sz w:val="20"/>
          <w:szCs w:val="20"/>
          <w:lang w:val="fr-CH"/>
        </w:rPr>
        <w:t>7</w:t>
      </w:r>
      <w:r w:rsidR="00052417">
        <w:rPr>
          <w:sz w:val="20"/>
          <w:szCs w:val="20"/>
          <w:lang w:val="fr-CH"/>
        </w:rPr>
        <w:t xml:space="preserve"> janvier</w:t>
      </w:r>
      <w:r>
        <w:rPr>
          <w:sz w:val="20"/>
          <w:szCs w:val="20"/>
          <w:lang w:val="fr-CH"/>
        </w:rPr>
        <w:t xml:space="preserve"> 2020</w:t>
      </w:r>
    </w:p>
    <w:p w14:paraId="72D916F3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0D524C29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294084DB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2B3595BC" w14:textId="77777777" w:rsidR="00003BF9" w:rsidRPr="00A05E68" w:rsidRDefault="00003BF9" w:rsidP="00003BF9">
      <w:pPr>
        <w:jc w:val="both"/>
        <w:rPr>
          <w:sz w:val="24"/>
          <w:szCs w:val="24"/>
          <w:lang w:val="fr-CH"/>
        </w:rPr>
      </w:pPr>
    </w:p>
    <w:p w14:paraId="41BE0E69" w14:textId="652939B7" w:rsidR="00F51FA7" w:rsidRPr="00F51FA7" w:rsidRDefault="00843FF1" w:rsidP="00F51FA7">
      <w:pPr>
        <w:jc w:val="both"/>
        <w:rPr>
          <w:rFonts w:eastAsia="Times New Roman"/>
          <w:sz w:val="24"/>
          <w:lang w:val="fr-CH"/>
        </w:rPr>
      </w:pPr>
      <w:r>
        <w:rPr>
          <w:rFonts w:eastAsia="Times New Roman"/>
          <w:sz w:val="24"/>
          <w:lang w:val="fr-CH"/>
        </w:rPr>
        <w:t>Madame</w:t>
      </w:r>
      <w:r w:rsidR="00F51FA7" w:rsidRPr="00F51FA7">
        <w:rPr>
          <w:rFonts w:eastAsia="Times New Roman"/>
          <w:sz w:val="24"/>
          <w:lang w:val="fr-CH"/>
        </w:rPr>
        <w:t xml:space="preserve"> l</w:t>
      </w:r>
      <w:r w:rsidR="0084186D">
        <w:rPr>
          <w:rFonts w:eastAsia="Times New Roman"/>
          <w:sz w:val="24"/>
          <w:lang w:val="fr-CH"/>
        </w:rPr>
        <w:t>a</w:t>
      </w:r>
      <w:r w:rsidR="00F51FA7" w:rsidRPr="00F51FA7">
        <w:rPr>
          <w:rFonts w:eastAsia="Times New Roman"/>
          <w:sz w:val="24"/>
          <w:lang w:val="fr-CH"/>
        </w:rPr>
        <w:t xml:space="preserve"> Président</w:t>
      </w:r>
      <w:r w:rsidR="0084186D">
        <w:rPr>
          <w:rFonts w:eastAsia="Times New Roman"/>
          <w:sz w:val="24"/>
          <w:lang w:val="fr-CH"/>
        </w:rPr>
        <w:t>e</w:t>
      </w:r>
      <w:r w:rsidR="00F51FA7" w:rsidRPr="00F51FA7">
        <w:rPr>
          <w:rFonts w:eastAsia="Times New Roman"/>
          <w:sz w:val="24"/>
          <w:lang w:val="fr-CH"/>
        </w:rPr>
        <w:t xml:space="preserve">, </w:t>
      </w:r>
    </w:p>
    <w:p w14:paraId="333BA611" w14:textId="77777777" w:rsidR="00F51FA7" w:rsidRPr="00F51FA7" w:rsidRDefault="00F51FA7" w:rsidP="00F51FA7">
      <w:pPr>
        <w:jc w:val="both"/>
        <w:rPr>
          <w:rFonts w:eastAsia="Times New Roman"/>
          <w:sz w:val="24"/>
          <w:lang w:val="fr-CH"/>
        </w:rPr>
      </w:pPr>
    </w:p>
    <w:p w14:paraId="125E9E70" w14:textId="77777777" w:rsidR="00DF382A" w:rsidRDefault="00F51FA7" w:rsidP="008E04C8">
      <w:pPr>
        <w:spacing w:line="240" w:lineRule="auto"/>
        <w:jc w:val="both"/>
        <w:rPr>
          <w:rFonts w:eastAsia="Times New Roman"/>
          <w:sz w:val="24"/>
          <w:lang w:val="fr-CH"/>
        </w:rPr>
      </w:pPr>
      <w:r w:rsidRPr="00F51FA7">
        <w:rPr>
          <w:rFonts w:eastAsia="Times New Roman"/>
          <w:sz w:val="24"/>
          <w:lang w:val="fr-CH"/>
        </w:rPr>
        <w:t xml:space="preserve">La Suisse souhaite la bienvenue à la délégation de </w:t>
      </w:r>
      <w:r w:rsidRPr="00F51FA7">
        <w:rPr>
          <w:rFonts w:eastAsia="Times New Roman"/>
          <w:sz w:val="24"/>
          <w:lang w:val="fr-FR"/>
        </w:rPr>
        <w:t>l</w:t>
      </w:r>
      <w:r w:rsidR="00CE35D8">
        <w:rPr>
          <w:rFonts w:eastAsia="Times New Roman"/>
          <w:sz w:val="24"/>
          <w:lang w:val="fr-FR"/>
        </w:rPr>
        <w:t>a Suède</w:t>
      </w:r>
      <w:r w:rsidRPr="00F51FA7">
        <w:rPr>
          <w:rFonts w:eastAsia="Times New Roman"/>
          <w:sz w:val="24"/>
          <w:lang w:val="fr-FR"/>
        </w:rPr>
        <w:t xml:space="preserve"> </w:t>
      </w:r>
      <w:r w:rsidRPr="00F51FA7">
        <w:rPr>
          <w:rFonts w:eastAsia="Times New Roman"/>
          <w:sz w:val="24"/>
          <w:lang w:val="fr-CH"/>
        </w:rPr>
        <w:t>et la remercie pour la présentation de son troisième rapport national.</w:t>
      </w:r>
      <w:r w:rsidR="00D571BC">
        <w:rPr>
          <w:rFonts w:eastAsia="Times New Roman"/>
          <w:sz w:val="24"/>
          <w:lang w:val="fr-CH"/>
        </w:rPr>
        <w:t xml:space="preserve"> </w:t>
      </w:r>
    </w:p>
    <w:p w14:paraId="52F0F45F" w14:textId="77777777" w:rsidR="00DF382A" w:rsidRDefault="00DF382A" w:rsidP="008E04C8">
      <w:pPr>
        <w:spacing w:line="240" w:lineRule="auto"/>
        <w:jc w:val="both"/>
        <w:rPr>
          <w:rFonts w:eastAsia="Times New Roman"/>
          <w:sz w:val="24"/>
          <w:lang w:val="fr-CH"/>
        </w:rPr>
      </w:pPr>
    </w:p>
    <w:p w14:paraId="00DBB782" w14:textId="77777777" w:rsidR="00F51FA7" w:rsidRPr="008E04C8" w:rsidRDefault="008E04C8" w:rsidP="008E04C8">
      <w:pPr>
        <w:spacing w:line="240" w:lineRule="auto"/>
        <w:jc w:val="both"/>
        <w:rPr>
          <w:rFonts w:eastAsia="Times New Roman"/>
          <w:color w:val="000000"/>
          <w:sz w:val="24"/>
          <w:lang w:val="fr-CH"/>
        </w:rPr>
      </w:pPr>
      <w:r w:rsidRPr="008E04C8">
        <w:rPr>
          <w:rFonts w:eastAsia="Times New Roman"/>
          <w:color w:val="000000"/>
          <w:sz w:val="24"/>
          <w:lang w:val="fr-CH"/>
        </w:rPr>
        <w:t xml:space="preserve">La Suisse reconnaît que la situation des droits </w:t>
      </w:r>
      <w:r>
        <w:rPr>
          <w:rFonts w:eastAsia="Times New Roman"/>
          <w:color w:val="000000"/>
          <w:sz w:val="24"/>
          <w:lang w:val="fr-CH"/>
        </w:rPr>
        <w:t>de l’homme</w:t>
      </w:r>
      <w:r w:rsidRPr="008E04C8">
        <w:rPr>
          <w:rFonts w:eastAsia="Times New Roman"/>
          <w:color w:val="000000"/>
          <w:sz w:val="24"/>
          <w:lang w:val="fr-CH"/>
        </w:rPr>
        <w:t xml:space="preserve"> en Suède est, d’une manière générale, très satisfaisante.</w:t>
      </w:r>
    </w:p>
    <w:p w14:paraId="081BA549" w14:textId="77777777" w:rsidR="00CE35D8" w:rsidRDefault="00CE35D8" w:rsidP="00F51FA7">
      <w:pPr>
        <w:spacing w:line="240" w:lineRule="auto"/>
        <w:jc w:val="both"/>
        <w:rPr>
          <w:rFonts w:eastAsia="Times New Roman"/>
          <w:color w:val="000000"/>
          <w:sz w:val="24"/>
          <w:lang w:val="fr-CH"/>
        </w:rPr>
      </w:pPr>
    </w:p>
    <w:p w14:paraId="27A097B2" w14:textId="4222F701" w:rsidR="00CE35D8" w:rsidRPr="00DF382A" w:rsidRDefault="00DF382A" w:rsidP="00F51FA7">
      <w:pPr>
        <w:spacing w:line="240" w:lineRule="auto"/>
        <w:jc w:val="both"/>
        <w:rPr>
          <w:rFonts w:eastAsia="Times New Roman"/>
          <w:b/>
          <w:sz w:val="24"/>
          <w:lang w:val="fr-CH"/>
        </w:rPr>
      </w:pPr>
      <w:r>
        <w:rPr>
          <w:rFonts w:eastAsia="Times New Roman"/>
          <w:sz w:val="24"/>
          <w:lang w:val="fr-CH"/>
        </w:rPr>
        <w:t>Cependant</w:t>
      </w:r>
      <w:r w:rsidRPr="00DF382A">
        <w:rPr>
          <w:rFonts w:eastAsia="Times New Roman"/>
          <w:sz w:val="24"/>
          <w:lang w:val="fr-CH"/>
        </w:rPr>
        <w:t xml:space="preserve">, la Suisse </w:t>
      </w:r>
      <w:r>
        <w:rPr>
          <w:rFonts w:eastAsia="Times New Roman"/>
          <w:sz w:val="24"/>
          <w:lang w:val="fr-CH"/>
        </w:rPr>
        <w:t>constate</w:t>
      </w:r>
      <w:r w:rsidRPr="00DF382A">
        <w:rPr>
          <w:rFonts w:eastAsia="Times New Roman"/>
          <w:sz w:val="24"/>
          <w:lang w:val="fr-CH"/>
        </w:rPr>
        <w:t xml:space="preserve"> que la préservation de</w:t>
      </w:r>
      <w:r w:rsidR="001622B9">
        <w:rPr>
          <w:rFonts w:eastAsia="Times New Roman"/>
          <w:sz w:val="24"/>
          <w:lang w:val="fr-CH"/>
        </w:rPr>
        <w:t>s</w:t>
      </w:r>
      <w:r w:rsidRPr="00DF382A">
        <w:rPr>
          <w:rFonts w:eastAsia="Times New Roman"/>
          <w:sz w:val="24"/>
          <w:lang w:val="fr-CH"/>
        </w:rPr>
        <w:t xml:space="preserve"> langue</w:t>
      </w:r>
      <w:r w:rsidR="001622B9">
        <w:rPr>
          <w:rFonts w:eastAsia="Times New Roman"/>
          <w:sz w:val="24"/>
          <w:lang w:val="fr-CH"/>
        </w:rPr>
        <w:t>s</w:t>
      </w:r>
      <w:r w:rsidRPr="00DF382A">
        <w:rPr>
          <w:rFonts w:eastAsia="Times New Roman"/>
          <w:sz w:val="24"/>
          <w:lang w:val="fr-CH"/>
        </w:rPr>
        <w:t xml:space="preserve"> </w:t>
      </w:r>
      <w:r w:rsidR="001622B9">
        <w:rPr>
          <w:rFonts w:eastAsia="Times New Roman"/>
          <w:sz w:val="24"/>
          <w:lang w:val="fr-CH"/>
        </w:rPr>
        <w:t xml:space="preserve">des </w:t>
      </w:r>
      <w:proofErr w:type="spellStart"/>
      <w:r>
        <w:rPr>
          <w:rFonts w:eastAsia="Times New Roman"/>
          <w:sz w:val="24"/>
          <w:lang w:val="fr-CH"/>
        </w:rPr>
        <w:t>Samis</w:t>
      </w:r>
      <w:proofErr w:type="spellEnd"/>
      <w:r w:rsidRPr="00DF382A">
        <w:rPr>
          <w:rFonts w:eastAsia="Times New Roman"/>
          <w:sz w:val="24"/>
          <w:lang w:val="fr-CH"/>
        </w:rPr>
        <w:t xml:space="preserve"> vivant en Suède est menacée. </w:t>
      </w:r>
      <w:r w:rsidR="007719BA">
        <w:rPr>
          <w:rFonts w:eastAsia="Times New Roman"/>
          <w:sz w:val="24"/>
          <w:lang w:val="fr-CH"/>
        </w:rPr>
        <w:t>Surtout l</w:t>
      </w:r>
      <w:r w:rsidR="007719BA" w:rsidRPr="007719BA">
        <w:rPr>
          <w:rFonts w:eastAsia="Times New Roman"/>
          <w:sz w:val="24"/>
          <w:lang w:val="fr-CH"/>
        </w:rPr>
        <w:t xml:space="preserve">e manque </w:t>
      </w:r>
      <w:r w:rsidR="007719BA">
        <w:rPr>
          <w:rFonts w:eastAsia="Times New Roman"/>
          <w:sz w:val="24"/>
          <w:lang w:val="fr-CH"/>
        </w:rPr>
        <w:t>d’enseignants</w:t>
      </w:r>
      <w:r w:rsidR="007719BA" w:rsidRPr="007719BA">
        <w:rPr>
          <w:rFonts w:eastAsia="Times New Roman"/>
          <w:sz w:val="24"/>
          <w:lang w:val="fr-CH"/>
        </w:rPr>
        <w:t xml:space="preserve"> </w:t>
      </w:r>
      <w:r w:rsidR="007719BA">
        <w:rPr>
          <w:rFonts w:eastAsia="Times New Roman"/>
          <w:sz w:val="24"/>
          <w:lang w:val="fr-CH"/>
        </w:rPr>
        <w:t>de</w:t>
      </w:r>
      <w:r w:rsidR="00224DF2">
        <w:rPr>
          <w:rFonts w:eastAsia="Times New Roman"/>
          <w:sz w:val="24"/>
          <w:lang w:val="fr-CH"/>
        </w:rPr>
        <w:t>s</w:t>
      </w:r>
      <w:r w:rsidR="007719BA">
        <w:rPr>
          <w:rFonts w:eastAsia="Times New Roman"/>
          <w:sz w:val="24"/>
          <w:lang w:val="fr-CH"/>
        </w:rPr>
        <w:t xml:space="preserve"> langues </w:t>
      </w:r>
      <w:proofErr w:type="spellStart"/>
      <w:r w:rsidR="002341C2">
        <w:rPr>
          <w:rFonts w:eastAsia="Times New Roman"/>
          <w:sz w:val="24"/>
          <w:lang w:val="fr-CH"/>
        </w:rPr>
        <w:t>sames</w:t>
      </w:r>
      <w:proofErr w:type="spellEnd"/>
      <w:r w:rsidR="002341C2">
        <w:rPr>
          <w:rFonts w:eastAsia="Times New Roman"/>
          <w:sz w:val="24"/>
          <w:lang w:val="fr-CH"/>
        </w:rPr>
        <w:t xml:space="preserve"> </w:t>
      </w:r>
      <w:r w:rsidR="007719BA" w:rsidRPr="007719BA">
        <w:rPr>
          <w:rFonts w:eastAsia="Times New Roman"/>
          <w:sz w:val="24"/>
          <w:lang w:val="fr-CH"/>
        </w:rPr>
        <w:t>e</w:t>
      </w:r>
      <w:r w:rsidR="007719BA">
        <w:rPr>
          <w:rFonts w:eastAsia="Times New Roman"/>
          <w:sz w:val="24"/>
          <w:lang w:val="fr-CH"/>
        </w:rPr>
        <w:t>st préoccupant</w:t>
      </w:r>
      <w:r w:rsidRPr="00DF382A">
        <w:rPr>
          <w:rFonts w:eastAsia="Times New Roman"/>
          <w:sz w:val="24"/>
          <w:lang w:val="fr-CH"/>
        </w:rPr>
        <w:t xml:space="preserve">. </w:t>
      </w:r>
      <w:r w:rsidR="001622B9">
        <w:rPr>
          <w:rFonts w:eastAsia="Times New Roman"/>
          <w:sz w:val="24"/>
          <w:lang w:val="fr-CH"/>
        </w:rPr>
        <w:t>Ainsi</w:t>
      </w:r>
      <w:r w:rsidR="009E60A5">
        <w:rPr>
          <w:rFonts w:eastAsia="Times New Roman"/>
          <w:sz w:val="24"/>
          <w:lang w:val="fr-CH"/>
        </w:rPr>
        <w:t>, en lien avec</w:t>
      </w:r>
      <w:r w:rsidR="005602EF">
        <w:rPr>
          <w:rFonts w:eastAsia="Times New Roman"/>
          <w:sz w:val="24"/>
          <w:lang w:val="fr-CH"/>
        </w:rPr>
        <w:t xml:space="preserve"> </w:t>
      </w:r>
      <w:r w:rsidR="009E60A5" w:rsidRPr="009E60A5">
        <w:rPr>
          <w:rFonts w:eastAsia="Times New Roman"/>
          <w:sz w:val="24"/>
          <w:lang w:val="fr-CH"/>
        </w:rPr>
        <w:t>l’objectif de développement durable</w:t>
      </w:r>
      <w:r w:rsidR="009E60A5">
        <w:rPr>
          <w:rFonts w:eastAsia="Times New Roman"/>
          <w:sz w:val="24"/>
          <w:lang w:val="fr-CH"/>
        </w:rPr>
        <w:t xml:space="preserve"> 4.5</w:t>
      </w:r>
      <w:r w:rsidRPr="001622B9">
        <w:rPr>
          <w:rFonts w:eastAsia="Times New Roman"/>
          <w:sz w:val="24"/>
          <w:lang w:val="fr-CH"/>
        </w:rPr>
        <w:t xml:space="preserve">, </w:t>
      </w:r>
      <w:r w:rsidRPr="00DF382A">
        <w:rPr>
          <w:rFonts w:eastAsia="Times New Roman"/>
          <w:b/>
          <w:sz w:val="24"/>
          <w:lang w:val="fr-CH"/>
        </w:rPr>
        <w:t xml:space="preserve">la Suisse recommande à la Suède de </w:t>
      </w:r>
      <w:r w:rsidR="001622B9" w:rsidRPr="00DF382A">
        <w:rPr>
          <w:rFonts w:eastAsia="Times New Roman"/>
          <w:b/>
          <w:sz w:val="24"/>
          <w:lang w:val="fr-CH"/>
        </w:rPr>
        <w:t>promouvoir la formation des enseignant</w:t>
      </w:r>
      <w:r w:rsidR="001622B9">
        <w:rPr>
          <w:rFonts w:eastAsia="Times New Roman"/>
          <w:b/>
          <w:sz w:val="24"/>
          <w:lang w:val="fr-CH"/>
        </w:rPr>
        <w:t>e</w:t>
      </w:r>
      <w:r w:rsidR="001622B9" w:rsidRPr="00DF382A">
        <w:rPr>
          <w:rFonts w:eastAsia="Times New Roman"/>
          <w:b/>
          <w:sz w:val="24"/>
          <w:lang w:val="fr-CH"/>
        </w:rPr>
        <w:t>s</w:t>
      </w:r>
      <w:r w:rsidR="001622B9">
        <w:rPr>
          <w:rFonts w:eastAsia="Times New Roman"/>
          <w:b/>
          <w:sz w:val="24"/>
          <w:lang w:val="fr-CH"/>
        </w:rPr>
        <w:t xml:space="preserve"> et enseignants</w:t>
      </w:r>
      <w:r w:rsidR="001622B9" w:rsidRPr="00DF382A">
        <w:rPr>
          <w:rFonts w:eastAsia="Times New Roman"/>
          <w:b/>
          <w:sz w:val="24"/>
          <w:lang w:val="fr-CH"/>
        </w:rPr>
        <w:t xml:space="preserve"> de</w:t>
      </w:r>
      <w:r w:rsidR="005602EF">
        <w:rPr>
          <w:rFonts w:eastAsia="Times New Roman"/>
          <w:b/>
          <w:sz w:val="24"/>
          <w:lang w:val="fr-CH"/>
        </w:rPr>
        <w:t>s</w:t>
      </w:r>
      <w:r w:rsidR="001622B9" w:rsidRPr="00DF382A">
        <w:rPr>
          <w:rFonts w:eastAsia="Times New Roman"/>
          <w:b/>
          <w:sz w:val="24"/>
          <w:lang w:val="fr-CH"/>
        </w:rPr>
        <w:t xml:space="preserve"> langue</w:t>
      </w:r>
      <w:r w:rsidR="005602EF">
        <w:rPr>
          <w:rFonts w:eastAsia="Times New Roman"/>
          <w:b/>
          <w:sz w:val="24"/>
          <w:lang w:val="fr-CH"/>
        </w:rPr>
        <w:t>s</w:t>
      </w:r>
      <w:r w:rsidR="001622B9" w:rsidRPr="00DF382A">
        <w:rPr>
          <w:rFonts w:eastAsia="Times New Roman"/>
          <w:b/>
          <w:sz w:val="24"/>
          <w:lang w:val="fr-CH"/>
        </w:rPr>
        <w:t xml:space="preserve"> </w:t>
      </w:r>
      <w:proofErr w:type="spellStart"/>
      <w:r w:rsidR="008C6C26">
        <w:rPr>
          <w:rFonts w:eastAsia="Times New Roman"/>
          <w:b/>
          <w:sz w:val="24"/>
          <w:lang w:val="fr-CH"/>
        </w:rPr>
        <w:t>sames</w:t>
      </w:r>
      <w:proofErr w:type="spellEnd"/>
      <w:r w:rsidR="00AF6D6A">
        <w:rPr>
          <w:rFonts w:eastAsia="Times New Roman"/>
          <w:b/>
          <w:sz w:val="24"/>
          <w:lang w:val="fr-CH"/>
        </w:rPr>
        <w:t>,</w:t>
      </w:r>
      <w:r w:rsidR="001622B9">
        <w:rPr>
          <w:rFonts w:eastAsia="Times New Roman"/>
          <w:b/>
          <w:sz w:val="24"/>
          <w:lang w:val="fr-CH"/>
        </w:rPr>
        <w:t xml:space="preserve"> de leur </w:t>
      </w:r>
      <w:r w:rsidRPr="00DF382A">
        <w:rPr>
          <w:rFonts w:eastAsia="Times New Roman"/>
          <w:b/>
          <w:sz w:val="24"/>
          <w:lang w:val="fr-CH"/>
        </w:rPr>
        <w:t>fournir des matériels pédagogiques adéquat</w:t>
      </w:r>
      <w:r>
        <w:rPr>
          <w:rFonts w:eastAsia="Times New Roman"/>
          <w:b/>
          <w:sz w:val="24"/>
          <w:lang w:val="fr-CH"/>
        </w:rPr>
        <w:t>s</w:t>
      </w:r>
      <w:r w:rsidR="00AF6D6A">
        <w:rPr>
          <w:rFonts w:eastAsia="Times New Roman"/>
          <w:b/>
          <w:sz w:val="24"/>
          <w:lang w:val="fr-CH"/>
        </w:rPr>
        <w:t xml:space="preserve"> et de mettre en place des offres de formation </w:t>
      </w:r>
      <w:r w:rsidR="00747013">
        <w:rPr>
          <w:rFonts w:eastAsia="Times New Roman"/>
          <w:b/>
          <w:sz w:val="24"/>
          <w:lang w:val="fr-CH"/>
        </w:rPr>
        <w:t xml:space="preserve">des langues </w:t>
      </w:r>
      <w:proofErr w:type="spellStart"/>
      <w:r w:rsidR="00843FF1">
        <w:rPr>
          <w:rFonts w:eastAsia="Times New Roman"/>
          <w:b/>
          <w:sz w:val="24"/>
          <w:lang w:val="fr-CH"/>
        </w:rPr>
        <w:t>sames</w:t>
      </w:r>
      <w:proofErr w:type="spellEnd"/>
      <w:r w:rsidR="00843FF1">
        <w:rPr>
          <w:rFonts w:eastAsia="Times New Roman"/>
          <w:b/>
          <w:sz w:val="24"/>
          <w:lang w:val="fr-CH"/>
        </w:rPr>
        <w:t xml:space="preserve"> </w:t>
      </w:r>
      <w:r w:rsidR="00AF6D6A">
        <w:rPr>
          <w:rFonts w:eastAsia="Times New Roman"/>
          <w:b/>
          <w:sz w:val="24"/>
          <w:lang w:val="fr-CH"/>
        </w:rPr>
        <w:t>suffisantes</w:t>
      </w:r>
      <w:r w:rsidRPr="00DF382A">
        <w:rPr>
          <w:rFonts w:eastAsia="Times New Roman"/>
          <w:b/>
          <w:sz w:val="24"/>
          <w:lang w:val="fr-CH"/>
        </w:rPr>
        <w:t>.</w:t>
      </w:r>
    </w:p>
    <w:p w14:paraId="56E85327" w14:textId="77777777" w:rsidR="00334BA4" w:rsidRPr="00F51FA7" w:rsidRDefault="00334BA4" w:rsidP="00F51FA7">
      <w:pPr>
        <w:spacing w:line="240" w:lineRule="auto"/>
        <w:jc w:val="both"/>
        <w:rPr>
          <w:rFonts w:eastAsia="Times New Roman"/>
          <w:sz w:val="24"/>
          <w:lang w:val="fr-CH"/>
        </w:rPr>
      </w:pPr>
    </w:p>
    <w:p w14:paraId="29CAEC4D" w14:textId="77777777" w:rsidR="00D036E7" w:rsidRPr="00DF382A" w:rsidRDefault="00F51FA7" w:rsidP="00DF382A">
      <w:pPr>
        <w:spacing w:line="240" w:lineRule="auto"/>
        <w:jc w:val="both"/>
        <w:rPr>
          <w:rFonts w:eastAsia="Times New Roman"/>
          <w:sz w:val="24"/>
          <w:lang w:val="fr-CH"/>
        </w:rPr>
      </w:pPr>
      <w:r w:rsidRPr="00F51FA7">
        <w:rPr>
          <w:rFonts w:eastAsia="Times New Roman"/>
          <w:sz w:val="24"/>
          <w:lang w:val="fr-CH"/>
        </w:rPr>
        <w:t>Je vous remercie.</w:t>
      </w:r>
    </w:p>
    <w:sectPr w:rsidR="00D036E7" w:rsidRPr="00DF382A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11A51" w14:textId="77777777" w:rsidR="00E15C7E" w:rsidRDefault="00E15C7E">
      <w:r>
        <w:separator/>
      </w:r>
    </w:p>
  </w:endnote>
  <w:endnote w:type="continuationSeparator" w:id="0">
    <w:p w14:paraId="0FA0FF78" w14:textId="77777777" w:rsidR="00E15C7E" w:rsidRDefault="00E1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1FCD0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04CC8EEF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3694125C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69911B5A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7ED333EB" w14:textId="77777777" w:rsidR="00B82727" w:rsidRDefault="000D1E2A">
    <w:pPr>
      <w:pStyle w:val="Footer"/>
      <w:rPr>
        <w:lang w:val="fr-CH"/>
      </w:rPr>
    </w:pPr>
    <w:r>
      <w:rPr>
        <w:lang w:val="fr-CH"/>
      </w:rPr>
      <w:t>Tél. +41 (0)58 482 24 41</w:t>
    </w:r>
    <w:r w:rsidR="00E128AD">
      <w:rPr>
        <w:lang w:val="fr-CH"/>
      </w:rPr>
      <w:t>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DC40A" w14:textId="77777777" w:rsidR="00E15C7E" w:rsidRDefault="00E15C7E">
      <w:r>
        <w:separator/>
      </w:r>
    </w:p>
  </w:footnote>
  <w:footnote w:type="continuationSeparator" w:id="0">
    <w:p w14:paraId="673F9D83" w14:textId="77777777" w:rsidR="00E15C7E" w:rsidRDefault="00E1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84E28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3EAFF952" w14:textId="77777777">
      <w:trPr>
        <w:cantSplit/>
        <w:trHeight w:hRule="exact" w:val="1840"/>
      </w:trPr>
      <w:tc>
        <w:tcPr>
          <w:tcW w:w="4848" w:type="dxa"/>
        </w:tcPr>
        <w:p w14:paraId="31FCEDA0" w14:textId="77777777" w:rsidR="00B82727" w:rsidRDefault="003F744B">
          <w:pPr>
            <w:pStyle w:val="Logo"/>
          </w:pPr>
          <w:r>
            <w:drawing>
              <wp:inline distT="0" distB="0" distL="0" distR="0" wp14:anchorId="1ACCE5F3" wp14:editId="419E6D2D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4F34E672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3B797CA7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7FFC92C8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1309"/>
    <w:rsid w:val="00003BF9"/>
    <w:rsid w:val="00014C5A"/>
    <w:rsid w:val="00052417"/>
    <w:rsid w:val="000957C3"/>
    <w:rsid w:val="000A4C7A"/>
    <w:rsid w:val="000A7C42"/>
    <w:rsid w:val="000C2085"/>
    <w:rsid w:val="000D1E2A"/>
    <w:rsid w:val="000F40DA"/>
    <w:rsid w:val="001062DA"/>
    <w:rsid w:val="001601BD"/>
    <w:rsid w:val="001622B9"/>
    <w:rsid w:val="00197781"/>
    <w:rsid w:val="001D6A37"/>
    <w:rsid w:val="001E0CFE"/>
    <w:rsid w:val="002170C6"/>
    <w:rsid w:val="00224DF2"/>
    <w:rsid w:val="002341C2"/>
    <w:rsid w:val="002403DC"/>
    <w:rsid w:val="00262088"/>
    <w:rsid w:val="002966B8"/>
    <w:rsid w:val="00297AB9"/>
    <w:rsid w:val="002A798D"/>
    <w:rsid w:val="002F6BEE"/>
    <w:rsid w:val="0032472A"/>
    <w:rsid w:val="00334BA4"/>
    <w:rsid w:val="0036101B"/>
    <w:rsid w:val="0039660B"/>
    <w:rsid w:val="003A272F"/>
    <w:rsid w:val="003C5228"/>
    <w:rsid w:val="003F744B"/>
    <w:rsid w:val="00402186"/>
    <w:rsid w:val="0049030E"/>
    <w:rsid w:val="005264A7"/>
    <w:rsid w:val="00553225"/>
    <w:rsid w:val="005602EF"/>
    <w:rsid w:val="00597484"/>
    <w:rsid w:val="005A210F"/>
    <w:rsid w:val="005B2679"/>
    <w:rsid w:val="005B45E4"/>
    <w:rsid w:val="00657DBB"/>
    <w:rsid w:val="006758C3"/>
    <w:rsid w:val="006C1086"/>
    <w:rsid w:val="00726322"/>
    <w:rsid w:val="00747013"/>
    <w:rsid w:val="007719BA"/>
    <w:rsid w:val="0084186D"/>
    <w:rsid w:val="00843FF1"/>
    <w:rsid w:val="0086098A"/>
    <w:rsid w:val="00880F3B"/>
    <w:rsid w:val="00887A4B"/>
    <w:rsid w:val="008974C6"/>
    <w:rsid w:val="008A760E"/>
    <w:rsid w:val="008C6C26"/>
    <w:rsid w:val="008E04C8"/>
    <w:rsid w:val="008E1C3B"/>
    <w:rsid w:val="008F4C02"/>
    <w:rsid w:val="009141D4"/>
    <w:rsid w:val="00944407"/>
    <w:rsid w:val="00982225"/>
    <w:rsid w:val="00982752"/>
    <w:rsid w:val="009E60A5"/>
    <w:rsid w:val="009E6DF9"/>
    <w:rsid w:val="009F1756"/>
    <w:rsid w:val="00A05E68"/>
    <w:rsid w:val="00A75074"/>
    <w:rsid w:val="00AD1440"/>
    <w:rsid w:val="00AF6D6A"/>
    <w:rsid w:val="00B20434"/>
    <w:rsid w:val="00B82727"/>
    <w:rsid w:val="00BD4467"/>
    <w:rsid w:val="00BE0169"/>
    <w:rsid w:val="00C15E7F"/>
    <w:rsid w:val="00C25955"/>
    <w:rsid w:val="00C45BBB"/>
    <w:rsid w:val="00C84E70"/>
    <w:rsid w:val="00CE35D8"/>
    <w:rsid w:val="00CF42A7"/>
    <w:rsid w:val="00D036E7"/>
    <w:rsid w:val="00D571BC"/>
    <w:rsid w:val="00D630B8"/>
    <w:rsid w:val="00D67CF9"/>
    <w:rsid w:val="00DE5479"/>
    <w:rsid w:val="00DF382A"/>
    <w:rsid w:val="00E010C6"/>
    <w:rsid w:val="00E128AD"/>
    <w:rsid w:val="00E15C7E"/>
    <w:rsid w:val="00E85A8C"/>
    <w:rsid w:val="00F51FA7"/>
    <w:rsid w:val="00F70913"/>
    <w:rsid w:val="00F81960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FCF05"/>
  <w15:docId w15:val="{04A46EFB-34AE-47C8-922F-C3D714D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065BB8-17A3-4543-9EC3-857187EE48C3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A5775D0C-DC6C-413A-8DE3-1A889C7713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781</Characters>
  <Application>Microsoft Office Word</Application>
  <DocSecurity>0</DocSecurity>
  <Lines>25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Day Charlotte EDA DYC</cp:lastModifiedBy>
  <cp:revision>2</cp:revision>
  <cp:lastPrinted>2015-06-15T14:49:00Z</cp:lastPrinted>
  <dcterms:created xsi:type="dcterms:W3CDTF">2020-01-27T07:08:00Z</dcterms:created>
  <dcterms:modified xsi:type="dcterms:W3CDTF">2020-01-27T07:08:00Z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