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FE4633">
              <w:rPr>
                <w:rFonts w:ascii="OrigGarmnd BT" w:hAnsi="OrigGarmnd BT"/>
                <w:b/>
                <w:sz w:val="28"/>
                <w:szCs w:val="28"/>
              </w:rPr>
              <w:t>5</w:t>
            </w:r>
            <w:r w:rsidR="00FE4633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150CC0">
        <w:rPr>
          <w:rFonts w:ascii="OrigGarmnd BT" w:hAnsi="OrigGarmnd BT"/>
          <w:b/>
          <w:sz w:val="28"/>
          <w:szCs w:val="28"/>
        </w:rPr>
        <w:t>Armenia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>vered by</w:t>
      </w:r>
      <w:r w:rsidR="00FE4633">
        <w:rPr>
          <w:rFonts w:ascii="OrigGarmnd BT" w:hAnsi="OrigGarmnd BT"/>
          <w:i/>
        </w:rPr>
        <w:t xml:space="preserve"> </w:t>
      </w:r>
      <w:r w:rsidR="00375BD8">
        <w:rPr>
          <w:rFonts w:ascii="OrigGarmnd BT" w:hAnsi="OrigGarmnd BT"/>
          <w:i/>
        </w:rPr>
        <w:t>Ms Clara Molin, Second secretary</w:t>
      </w:r>
      <w:bookmarkStart w:id="13" w:name="_GoBack"/>
      <w:bookmarkEnd w:id="13"/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FE4633">
        <w:rPr>
          <w:rFonts w:ascii="OrigGarmnd BT" w:hAnsi="OrigGarmnd BT"/>
          <w:i/>
        </w:rPr>
        <w:t>2</w:t>
      </w:r>
      <w:r w:rsidR="001005B1">
        <w:rPr>
          <w:rFonts w:ascii="OrigGarmnd BT" w:hAnsi="OrigGarmnd BT"/>
          <w:i/>
        </w:rPr>
        <w:t>3</w:t>
      </w:r>
      <w:r w:rsidR="00B134F3">
        <w:rPr>
          <w:rFonts w:ascii="OrigGarmnd BT" w:hAnsi="OrigGarmnd BT"/>
          <w:i/>
        </w:rPr>
        <w:t xml:space="preserve"> </w:t>
      </w:r>
      <w:r w:rsidR="00FE4633">
        <w:rPr>
          <w:rFonts w:ascii="OrigGarmnd BT" w:hAnsi="OrigGarmnd BT"/>
          <w:i/>
        </w:rPr>
        <w:t>Ja</w:t>
      </w:r>
      <w:r w:rsidR="005217FE">
        <w:rPr>
          <w:rFonts w:ascii="OrigGarmnd BT" w:hAnsi="OrigGarmnd BT"/>
          <w:i/>
        </w:rPr>
        <w:t>n</w:t>
      </w:r>
      <w:r w:rsidR="00FE4633">
        <w:rPr>
          <w:rFonts w:ascii="OrigGarmnd BT" w:hAnsi="OrigGarmnd BT"/>
          <w:i/>
        </w:rPr>
        <w:t>uary</w:t>
      </w:r>
      <w:r w:rsidR="00F1281E">
        <w:rPr>
          <w:rFonts w:ascii="OrigGarmnd BT" w:hAnsi="OrigGarmnd BT"/>
          <w:i/>
        </w:rPr>
        <w:t xml:space="preserve"> 20</w:t>
      </w:r>
      <w:r w:rsidR="00FE4633">
        <w:rPr>
          <w:rFonts w:ascii="OrigGarmnd BT" w:hAnsi="OrigGarmnd BT"/>
          <w:i/>
        </w:rPr>
        <w:t>20</w:t>
      </w:r>
      <w:r w:rsidR="00F1281E">
        <w:rPr>
          <w:rFonts w:ascii="OrigGarmnd BT" w:hAnsi="OrigGarmnd BT"/>
          <w:i/>
        </w:rPr>
        <w:t xml:space="preserve"> (speaking time </w:t>
      </w:r>
      <w:r w:rsidR="00150CC0">
        <w:rPr>
          <w:rFonts w:ascii="OrigGarmnd BT" w:hAnsi="OrigGarmnd BT"/>
          <w:i/>
        </w:rPr>
        <w:t>1</w:t>
      </w:r>
      <w:r w:rsidR="001005B1">
        <w:rPr>
          <w:rFonts w:ascii="OrigGarmnd BT" w:hAnsi="OrigGarmnd BT"/>
          <w:i/>
        </w:rPr>
        <w:t>.</w:t>
      </w:r>
      <w:r w:rsidR="00150CC0">
        <w:rPr>
          <w:rFonts w:ascii="OrigGarmnd BT" w:hAnsi="OrigGarmnd BT"/>
          <w:i/>
        </w:rPr>
        <w:t>10</w:t>
      </w:r>
      <w:r w:rsidR="00F16544">
        <w:rPr>
          <w:rFonts w:ascii="OrigGarmnd BT" w:hAnsi="OrigGarmnd BT"/>
          <w:i/>
        </w:rPr>
        <w:t xml:space="preserve"> </w:t>
      </w:r>
      <w:r w:rsidR="001005B1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375BD8">
        <w:rPr>
          <w:rFonts w:ascii="OrigGarmnd BT" w:hAnsi="OrigGarmnd BT"/>
          <w:i/>
        </w:rPr>
        <w:t>73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Pr="004D61D3" w:rsidRDefault="003828AF" w:rsidP="00A2699B">
      <w:pPr>
        <w:pStyle w:val="Brdtext1"/>
        <w:spacing w:line="360" w:lineRule="auto"/>
        <w:rPr>
          <w:rFonts w:ascii="OrigGarmnd BT" w:hAnsi="OrigGarmnd BT"/>
        </w:rPr>
      </w:pPr>
      <w:r w:rsidRPr="004D61D3">
        <w:rPr>
          <w:rFonts w:ascii="OrigGarmnd BT" w:hAnsi="OrigGarmnd BT"/>
        </w:rPr>
        <w:t>M</w:t>
      </w:r>
      <w:r w:rsidR="00FE4633" w:rsidRPr="004D61D3">
        <w:rPr>
          <w:rFonts w:ascii="OrigGarmnd BT" w:hAnsi="OrigGarmnd BT"/>
        </w:rPr>
        <w:t>adame</w:t>
      </w:r>
      <w:r w:rsidRPr="004D61D3">
        <w:rPr>
          <w:rFonts w:ascii="OrigGarmnd BT" w:hAnsi="OrigGarmnd BT"/>
        </w:rPr>
        <w:t xml:space="preserve"> President</w:t>
      </w:r>
      <w:r w:rsidR="00DD4975" w:rsidRPr="004D61D3">
        <w:rPr>
          <w:rFonts w:ascii="OrigGarmnd BT" w:hAnsi="OrigGarmnd BT"/>
        </w:rPr>
        <w:t>,</w:t>
      </w:r>
    </w:p>
    <w:p w:rsidR="00C61B9C" w:rsidRPr="004D61D3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:rsidR="00150CC0" w:rsidRDefault="00624D76" w:rsidP="005217FE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 xml:space="preserve">Sweden welcomes </w:t>
      </w:r>
      <w:r w:rsidR="00150CC0">
        <w:rPr>
          <w:rFonts w:ascii="OrigGarmnd BT" w:hAnsi="OrigGarmnd BT"/>
          <w:lang w:val="en-US"/>
        </w:rPr>
        <w:t>the developments in Armenia since the “Velvet R</w:t>
      </w:r>
      <w:r w:rsidR="00D35E3A">
        <w:rPr>
          <w:rFonts w:ascii="OrigGarmnd BT" w:hAnsi="OrigGarmnd BT"/>
          <w:lang w:val="en-US"/>
        </w:rPr>
        <w:t>e</w:t>
      </w:r>
      <w:r w:rsidR="00150CC0">
        <w:rPr>
          <w:rFonts w:ascii="OrigGarmnd BT" w:hAnsi="OrigGarmnd BT"/>
          <w:lang w:val="en-US"/>
        </w:rPr>
        <w:t>volut</w:t>
      </w:r>
      <w:r w:rsidR="00D35E3A">
        <w:rPr>
          <w:rFonts w:ascii="OrigGarmnd BT" w:hAnsi="OrigGarmnd BT"/>
          <w:lang w:val="en-US"/>
        </w:rPr>
        <w:t>i</w:t>
      </w:r>
      <w:r w:rsidR="00150CC0">
        <w:rPr>
          <w:rFonts w:ascii="OrigGarmnd BT" w:hAnsi="OrigGarmnd BT"/>
          <w:lang w:val="en-US"/>
        </w:rPr>
        <w:t>on” of 2018 and acknowledges the commitment of the Government of Armenia to strengthen the respect for human rights, democracy, and the rule of law- including justice sector reform. However, there has been a worrying backlash in the form of disinformation, increased harassments and incitement to hatred against human r</w:t>
      </w:r>
      <w:r w:rsidR="00D35E3A">
        <w:rPr>
          <w:rFonts w:ascii="OrigGarmnd BT" w:hAnsi="OrigGarmnd BT"/>
          <w:lang w:val="en-US"/>
        </w:rPr>
        <w:t>i</w:t>
      </w:r>
      <w:r w:rsidR="00150CC0">
        <w:rPr>
          <w:rFonts w:ascii="OrigGarmnd BT" w:hAnsi="OrigGarmnd BT"/>
          <w:lang w:val="en-US"/>
        </w:rPr>
        <w:t xml:space="preserve">ghts defenders and civil society, notably women and LGBTI-persons, and there is still no anti-discrimination legislation in place. </w:t>
      </w:r>
    </w:p>
    <w:p w:rsidR="00150CC0" w:rsidRDefault="00150CC0" w:rsidP="005217FE">
      <w:pPr>
        <w:pStyle w:val="Brdtext1"/>
        <w:spacing w:line="360" w:lineRule="auto"/>
        <w:rPr>
          <w:rFonts w:ascii="OrigGarmnd BT" w:hAnsi="OrigGarmnd BT"/>
          <w:lang w:val="en-US"/>
        </w:rPr>
      </w:pPr>
    </w:p>
    <w:p w:rsidR="00B74F55" w:rsidRPr="004D61D3" w:rsidRDefault="001005B1" w:rsidP="005217FE">
      <w:pPr>
        <w:pStyle w:val="Brdtext1"/>
        <w:spacing w:line="36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Sweden w</w:t>
      </w:r>
      <w:r w:rsidR="00150CC0">
        <w:rPr>
          <w:rFonts w:ascii="OrigGarmnd BT" w:hAnsi="OrigGarmnd BT"/>
          <w:lang w:val="en-US"/>
        </w:rPr>
        <w:t>ould like</w:t>
      </w:r>
      <w:r>
        <w:rPr>
          <w:rFonts w:ascii="OrigGarmnd BT" w:hAnsi="OrigGarmnd BT"/>
          <w:lang w:val="en-US"/>
        </w:rPr>
        <w:t xml:space="preserve"> to make the following recommendations:</w:t>
      </w:r>
      <w:r w:rsidR="00FE4633" w:rsidRPr="004D61D3">
        <w:rPr>
          <w:rFonts w:ascii="OrigGarmnd BT" w:hAnsi="OrigGarmnd BT"/>
          <w:lang w:val="en-US"/>
        </w:rPr>
        <w:t xml:space="preserve"> </w:t>
      </w:r>
    </w:p>
    <w:p w:rsidR="007B693D" w:rsidRPr="004D61D3" w:rsidRDefault="00B74F55" w:rsidP="00F16544">
      <w:pPr>
        <w:pStyle w:val="Brdtext1"/>
        <w:spacing w:line="360" w:lineRule="auto"/>
        <w:jc w:val="both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 xml:space="preserve"> </w:t>
      </w:r>
    </w:p>
    <w:p w:rsidR="00B74F55" w:rsidRPr="004D61D3" w:rsidRDefault="00FE4633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b/>
          <w:lang w:val="en-US"/>
        </w:rPr>
      </w:pPr>
      <w:bookmarkStart w:id="14" w:name="_Hlk534649981"/>
      <w:r w:rsidRPr="004D61D3">
        <w:rPr>
          <w:rFonts w:ascii="OrigGarmnd BT" w:hAnsi="OrigGarmnd BT"/>
          <w:lang w:val="en-US"/>
        </w:rPr>
        <w:t xml:space="preserve">To </w:t>
      </w:r>
      <w:r w:rsidR="00150CC0">
        <w:rPr>
          <w:rFonts w:ascii="OrigGarmnd BT" w:hAnsi="OrigGarmnd BT"/>
          <w:lang w:val="en-US"/>
        </w:rPr>
        <w:t>effectively implement judicial reform, in close cooperation with the Council of Europe, to ensure an impartial and transparent judicial system.</w:t>
      </w:r>
    </w:p>
    <w:p w:rsidR="00E56E37" w:rsidRPr="004D61D3" w:rsidRDefault="00E56E37" w:rsidP="00A2699B">
      <w:pPr>
        <w:pStyle w:val="Default"/>
        <w:spacing w:line="360" w:lineRule="auto"/>
        <w:ind w:left="1077"/>
        <w:jc w:val="both"/>
        <w:rPr>
          <w:rFonts w:ascii="OrigGarmnd BT" w:hAnsi="OrigGarmnd BT"/>
          <w:b/>
          <w:lang w:val="en-US"/>
        </w:rPr>
      </w:pPr>
    </w:p>
    <w:bookmarkEnd w:id="14"/>
    <w:p w:rsidR="001005B1" w:rsidRPr="00150CC0" w:rsidRDefault="00150CC0" w:rsidP="00150CC0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b/>
          <w:lang w:val="en-US"/>
        </w:rPr>
      </w:pPr>
      <w:r>
        <w:rPr>
          <w:rFonts w:ascii="OrigGarmnd BT" w:hAnsi="OrigGarmnd BT"/>
          <w:lang w:val="en-US"/>
        </w:rPr>
        <w:t>To ratify the Council of Europe Convention on preventing and combating violence against women and domestic violence (Istanbul Convention)</w:t>
      </w:r>
    </w:p>
    <w:p w:rsidR="00150CC0" w:rsidRDefault="00150CC0" w:rsidP="00150CC0">
      <w:pPr>
        <w:pStyle w:val="ListParagraph"/>
        <w:rPr>
          <w:rFonts w:ascii="OrigGarmnd BT" w:hAnsi="OrigGarmnd BT"/>
          <w:b/>
          <w:lang w:val="en-US"/>
        </w:rPr>
      </w:pPr>
    </w:p>
    <w:p w:rsidR="00150CC0" w:rsidRPr="00E61436" w:rsidRDefault="00150CC0" w:rsidP="00150CC0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lang w:val="en-US"/>
        </w:rPr>
      </w:pPr>
      <w:r w:rsidRPr="00E61436">
        <w:rPr>
          <w:rFonts w:ascii="OrigGarmnd BT" w:hAnsi="OrigGarmnd BT"/>
          <w:lang w:val="en-US"/>
        </w:rPr>
        <w:t>To adopt a law on anti-discrimination which includes sexual orientation and gen</w:t>
      </w:r>
      <w:r w:rsidR="00E61436">
        <w:rPr>
          <w:rFonts w:ascii="OrigGarmnd BT" w:hAnsi="OrigGarmnd BT"/>
          <w:lang w:val="en-US"/>
        </w:rPr>
        <w:t>d</w:t>
      </w:r>
      <w:r w:rsidRPr="00E61436">
        <w:rPr>
          <w:rFonts w:ascii="OrigGarmnd BT" w:hAnsi="OrigGarmnd BT"/>
          <w:lang w:val="en-US"/>
        </w:rPr>
        <w:t>er identity as protection grounds.</w:t>
      </w:r>
    </w:p>
    <w:p w:rsidR="00150CC0" w:rsidRPr="00E61436" w:rsidRDefault="00150CC0" w:rsidP="00150CC0">
      <w:pPr>
        <w:pStyle w:val="ListParagraph"/>
        <w:rPr>
          <w:rFonts w:ascii="OrigGarmnd BT" w:hAnsi="OrigGarmnd BT"/>
          <w:lang w:val="en-US"/>
        </w:rPr>
      </w:pPr>
    </w:p>
    <w:p w:rsidR="00150CC0" w:rsidRPr="00E61436" w:rsidRDefault="00E61436" w:rsidP="00150CC0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lang w:val="en-US"/>
        </w:rPr>
      </w:pPr>
      <w:r w:rsidRPr="00E61436">
        <w:rPr>
          <w:rFonts w:ascii="OrigGarmnd BT" w:hAnsi="OrigGarmnd BT"/>
          <w:lang w:val="en-US"/>
        </w:rPr>
        <w:t>To take measures</w:t>
      </w:r>
      <w:r>
        <w:rPr>
          <w:rFonts w:ascii="OrigGarmnd BT" w:hAnsi="OrigGarmnd BT"/>
          <w:lang w:val="en-US"/>
        </w:rPr>
        <w:t xml:space="preserve"> </w:t>
      </w:r>
      <w:r w:rsidRPr="00E61436">
        <w:rPr>
          <w:rFonts w:ascii="OrigGarmnd BT" w:hAnsi="OrigGarmnd BT"/>
          <w:lang w:val="en-US"/>
        </w:rPr>
        <w:t>to protect human rights defenders and civil society from harassment.</w:t>
      </w:r>
    </w:p>
    <w:p w:rsidR="00624D76" w:rsidRPr="004D61D3" w:rsidRDefault="00624D76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</w:p>
    <w:p w:rsidR="00D35E3A" w:rsidRDefault="00D35E3A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</w:p>
    <w:p w:rsidR="00DD4975" w:rsidRPr="004D61D3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>S</w:t>
      </w:r>
      <w:r w:rsidR="00CA0152" w:rsidRPr="004D61D3">
        <w:rPr>
          <w:rFonts w:ascii="OrigGarmnd BT" w:hAnsi="OrigGarmnd BT"/>
          <w:lang w:val="en-US"/>
        </w:rPr>
        <w:t xml:space="preserve">weden </w:t>
      </w:r>
      <w:r w:rsidR="00D9792A" w:rsidRPr="004D61D3">
        <w:rPr>
          <w:rFonts w:ascii="OrigGarmnd BT" w:hAnsi="OrigGarmnd BT"/>
          <w:lang w:val="en-US"/>
        </w:rPr>
        <w:t xml:space="preserve">wishes </w:t>
      </w:r>
      <w:r w:rsidR="00E61436">
        <w:rPr>
          <w:rFonts w:ascii="OrigGarmnd BT" w:hAnsi="OrigGarmnd BT"/>
          <w:lang w:val="en-US"/>
        </w:rPr>
        <w:t>Armenia</w:t>
      </w:r>
      <w:r w:rsidR="00D9792A" w:rsidRPr="004D61D3">
        <w:rPr>
          <w:rFonts w:ascii="OrigGarmnd BT" w:hAnsi="OrigGarmnd BT"/>
          <w:lang w:val="en-US"/>
        </w:rPr>
        <w:t xml:space="preserve"> </w:t>
      </w:r>
      <w:r w:rsidRPr="004D61D3">
        <w:rPr>
          <w:rFonts w:ascii="OrigGarmnd BT" w:hAnsi="OrigGarmnd BT"/>
          <w:lang w:val="en-US"/>
        </w:rPr>
        <w:t>al</w:t>
      </w:r>
      <w:r w:rsidR="00F1281E" w:rsidRPr="004D61D3">
        <w:rPr>
          <w:rFonts w:ascii="OrigGarmnd BT" w:hAnsi="OrigGarmnd BT"/>
          <w:lang w:val="en-US"/>
        </w:rPr>
        <w:t xml:space="preserve">l success in the current review. </w:t>
      </w:r>
    </w:p>
    <w:p w:rsidR="00F1281E" w:rsidRPr="004D61D3" w:rsidRDefault="00F1281E" w:rsidP="00A2699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64A29" w:rsidRPr="004D61D3" w:rsidRDefault="00DD4975" w:rsidP="002F6730">
      <w:pPr>
        <w:pStyle w:val="Brdtext1"/>
        <w:spacing w:line="360" w:lineRule="auto"/>
        <w:rPr>
          <w:rFonts w:ascii="OrigGarmnd BT" w:hAnsi="OrigGarmnd BT"/>
        </w:rPr>
      </w:pPr>
      <w:r w:rsidRPr="004D61D3">
        <w:rPr>
          <w:rFonts w:ascii="OrigGarmnd BT" w:hAnsi="OrigGarmnd BT"/>
          <w:lang w:val="en-US"/>
        </w:rPr>
        <w:t xml:space="preserve">I thank you </w:t>
      </w:r>
      <w:r w:rsidR="00C84AF6" w:rsidRPr="004D61D3">
        <w:rPr>
          <w:rFonts w:ascii="OrigGarmnd BT" w:hAnsi="OrigGarmnd BT"/>
        </w:rPr>
        <w:t>M</w:t>
      </w:r>
      <w:r w:rsidR="00FE4633" w:rsidRPr="004D61D3">
        <w:rPr>
          <w:rFonts w:ascii="OrigGarmnd BT" w:hAnsi="OrigGarmnd BT"/>
        </w:rPr>
        <w:t>adame</w:t>
      </w:r>
      <w:r w:rsidR="00C84AF6" w:rsidRPr="004D61D3">
        <w:rPr>
          <w:rFonts w:ascii="OrigGarmnd BT" w:hAnsi="OrigGarmnd BT"/>
        </w:rPr>
        <w:t xml:space="preserve"> </w:t>
      </w:r>
      <w:r w:rsidR="00FC3CB9" w:rsidRPr="004D61D3">
        <w:rPr>
          <w:rFonts w:ascii="OrigGarmnd BT" w:hAnsi="OrigGarmnd BT"/>
        </w:rPr>
        <w:t>President</w:t>
      </w:r>
      <w:r w:rsidR="002F6730" w:rsidRPr="004D61D3">
        <w:rPr>
          <w:rFonts w:ascii="OrigGarmnd BT" w:hAnsi="OrigGarmnd BT"/>
        </w:rPr>
        <w:t>.</w:t>
      </w:r>
    </w:p>
    <w:sectPr w:rsidR="00D64A29" w:rsidRPr="004D61D3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375BD8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BD8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BD8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375BD8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BD8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BD8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BD8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37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0C3DEA"/>
    <w:rsid w:val="001005B1"/>
    <w:rsid w:val="00141447"/>
    <w:rsid w:val="00150CC0"/>
    <w:rsid w:val="001700AA"/>
    <w:rsid w:val="00194917"/>
    <w:rsid w:val="001A09C1"/>
    <w:rsid w:val="0020458C"/>
    <w:rsid w:val="00221F7B"/>
    <w:rsid w:val="00251045"/>
    <w:rsid w:val="002C3529"/>
    <w:rsid w:val="002F6730"/>
    <w:rsid w:val="003037EF"/>
    <w:rsid w:val="00375BD8"/>
    <w:rsid w:val="003828AF"/>
    <w:rsid w:val="003B1E77"/>
    <w:rsid w:val="003D2632"/>
    <w:rsid w:val="004231DB"/>
    <w:rsid w:val="004D61D3"/>
    <w:rsid w:val="005217FE"/>
    <w:rsid w:val="00575C3A"/>
    <w:rsid w:val="005D45BF"/>
    <w:rsid w:val="00624D76"/>
    <w:rsid w:val="00626594"/>
    <w:rsid w:val="00646187"/>
    <w:rsid w:val="006504D1"/>
    <w:rsid w:val="006561DB"/>
    <w:rsid w:val="006607E0"/>
    <w:rsid w:val="00673627"/>
    <w:rsid w:val="006841D8"/>
    <w:rsid w:val="00705F43"/>
    <w:rsid w:val="00734BC3"/>
    <w:rsid w:val="007B693D"/>
    <w:rsid w:val="007D3668"/>
    <w:rsid w:val="007F7BF1"/>
    <w:rsid w:val="00892ACB"/>
    <w:rsid w:val="009447D7"/>
    <w:rsid w:val="00991C81"/>
    <w:rsid w:val="009B084A"/>
    <w:rsid w:val="009B52E2"/>
    <w:rsid w:val="00A2699B"/>
    <w:rsid w:val="00A644C3"/>
    <w:rsid w:val="00AA3F45"/>
    <w:rsid w:val="00B12F6E"/>
    <w:rsid w:val="00B134F3"/>
    <w:rsid w:val="00B30E6A"/>
    <w:rsid w:val="00B56F4B"/>
    <w:rsid w:val="00B74F55"/>
    <w:rsid w:val="00B83102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35E3A"/>
    <w:rsid w:val="00D9792A"/>
    <w:rsid w:val="00DA007A"/>
    <w:rsid w:val="00DD4975"/>
    <w:rsid w:val="00DE352A"/>
    <w:rsid w:val="00DF49F1"/>
    <w:rsid w:val="00E56E37"/>
    <w:rsid w:val="00E61436"/>
    <w:rsid w:val="00ED2F94"/>
    <w:rsid w:val="00F1281E"/>
    <w:rsid w:val="00F16544"/>
    <w:rsid w:val="00F24BDC"/>
    <w:rsid w:val="00F44CA7"/>
    <w:rsid w:val="00F81948"/>
    <w:rsid w:val="00F86266"/>
    <w:rsid w:val="00FA3ACF"/>
    <w:rsid w:val="00FC3CB9"/>
    <w:rsid w:val="00FE040D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9726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BD248-3820-40D4-8C2F-F00E262327B1}"/>
</file>

<file path=customXml/itemProps2.xml><?xml version="1.0" encoding="utf-8"?>
<ds:datastoreItem xmlns:ds="http://schemas.openxmlformats.org/officeDocument/2006/customXml" ds:itemID="{95A74C3C-3326-443B-87C5-85BB8EF267CA}"/>
</file>

<file path=customXml/itemProps3.xml><?xml version="1.0" encoding="utf-8"?>
<ds:datastoreItem xmlns:ds="http://schemas.openxmlformats.org/officeDocument/2006/customXml" ds:itemID="{53C01314-2826-473E-A2D8-3A5628203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Malin Sundström</cp:lastModifiedBy>
  <cp:revision>4</cp:revision>
  <cp:lastPrinted>2019-05-03T08:39:00Z</cp:lastPrinted>
  <dcterms:created xsi:type="dcterms:W3CDTF">2020-01-21T11:26:00Z</dcterms:created>
  <dcterms:modified xsi:type="dcterms:W3CDTF">2020-01-23T11:53:00Z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