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D500" w14:textId="2AFD28D0" w:rsidR="00B732A5" w:rsidRPr="0037006E" w:rsidRDefault="00B732A5" w:rsidP="00A85D59">
      <w:pPr>
        <w:pStyle w:val="SingleTxtG"/>
        <w:spacing w:after="0" w:line="276" w:lineRule="auto"/>
        <w:ind w:left="0" w:right="0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lang w:val="en-US"/>
        </w:rPr>
      </w:pPr>
      <w:bookmarkStart w:id="0" w:name="_GoBack"/>
      <w:bookmarkEnd w:id="0"/>
      <w:r w:rsidRPr="0037006E">
        <w:rPr>
          <w:rFonts w:asciiTheme="minorHAnsi" w:eastAsia="MS Mincho" w:hAnsiTheme="minorHAnsi" w:cstheme="minorHAnsi"/>
          <w:b/>
          <w:bCs/>
          <w:sz w:val="24"/>
          <w:szCs w:val="24"/>
          <w:lang w:val="en-US"/>
        </w:rPr>
        <w:t>Bangladesh statement at the review of Guyana under Third Cycle of UPR</w:t>
      </w:r>
    </w:p>
    <w:p w14:paraId="4D138E9A" w14:textId="27C71C9F" w:rsidR="00B732A5" w:rsidRPr="0037006E" w:rsidRDefault="00B732A5" w:rsidP="00A85D59">
      <w:pPr>
        <w:pStyle w:val="SingleTxtG"/>
        <w:pBdr>
          <w:bottom w:val="single" w:sz="4" w:space="1" w:color="auto"/>
        </w:pBdr>
        <w:spacing w:after="0" w:line="276" w:lineRule="auto"/>
        <w:ind w:left="0" w:right="0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b/>
          <w:bCs/>
          <w:sz w:val="24"/>
          <w:szCs w:val="24"/>
          <w:lang w:val="en-US"/>
        </w:rPr>
        <w:t>29 January 2020, 09:00 – 12:30</w:t>
      </w:r>
    </w:p>
    <w:p w14:paraId="0A26328B" w14:textId="77777777" w:rsidR="00B732A5" w:rsidRPr="0037006E" w:rsidRDefault="00B732A5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68F5FC40" w14:textId="77777777" w:rsidR="00B732A5" w:rsidRPr="0037006E" w:rsidRDefault="00B732A5" w:rsidP="00A85D59">
      <w:pPr>
        <w:pStyle w:val="SingleTxtG"/>
        <w:tabs>
          <w:tab w:val="left" w:pos="7892"/>
        </w:tabs>
        <w:spacing w:after="0" w:line="276" w:lineRule="auto"/>
        <w:ind w:left="0" w:right="0" w:firstLine="720"/>
        <w:rPr>
          <w:rFonts w:asciiTheme="minorHAnsi" w:eastAsia="MS Mincho" w:hAnsiTheme="minorHAnsi" w:cstheme="minorHAnsi"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>Thank you, Madam President.</w:t>
      </w:r>
    </w:p>
    <w:p w14:paraId="52B5A44A" w14:textId="77777777" w:rsidR="00B732A5" w:rsidRPr="0037006E" w:rsidRDefault="00B732A5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25C96070" w14:textId="6802E9D6" w:rsidR="00B732A5" w:rsidRPr="0037006E" w:rsidRDefault="00B732A5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ab/>
        <w:t>Bangladesh warmly welcomes the distinguished delegation of Guyana.</w:t>
      </w:r>
    </w:p>
    <w:p w14:paraId="51B0E96E" w14:textId="77777777" w:rsidR="00B732A5" w:rsidRPr="0037006E" w:rsidRDefault="00B732A5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3A137D35" w14:textId="480C0727" w:rsidR="00BB065E" w:rsidRPr="0037006E" w:rsidRDefault="00B732A5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ab/>
        <w:t>We commend Guyana’s continued efforts to promote human rights and cooperation with international human rights mechanisms. In this context, we appreciate formulation of t</w:t>
      </w:r>
      <w:r w:rsidR="00BB065E"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he Green State Development Strategy 2040 </w:t>
      </w:r>
      <w:r w:rsidR="005B3879"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>which aspires to promote economic, social and political rights of all people.</w:t>
      </w:r>
    </w:p>
    <w:p w14:paraId="4BD0C868" w14:textId="23A5214A" w:rsidR="005B3879" w:rsidRPr="0037006E" w:rsidRDefault="005B3879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3DBBE025" w14:textId="0DAA05D1" w:rsidR="00917B66" w:rsidRPr="0037006E" w:rsidRDefault="005B3879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ab/>
      </w:r>
      <w:r w:rsidR="00C0712A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Setting up </w:t>
      </w: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>of four National Commissions focused on different human right issues</w:t>
      </w:r>
      <w:r w:rsidR="00C0712A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 is noteworthy</w:t>
      </w: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>.</w:t>
      </w:r>
      <w:r w:rsidR="00F02B78"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 We also appreciate </w:t>
      </w:r>
      <w:r w:rsidR="007D0FE5"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>policies and strategies</w:t>
      </w:r>
      <w:r w:rsidR="00F02B78"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 to improve the basic social services including health, education and safe drinking waters.</w:t>
      </w:r>
      <w:r w:rsidR="007D0FE5"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 </w:t>
      </w:r>
    </w:p>
    <w:p w14:paraId="3DDBB0C9" w14:textId="3019E0EB" w:rsidR="005B3BF4" w:rsidRPr="0037006E" w:rsidRDefault="005B3BF4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2AE414FD" w14:textId="3DDDBB81" w:rsidR="00A85D59" w:rsidRPr="0037006E" w:rsidRDefault="005B3BF4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ab/>
        <w:t>Bangladesh recommends Guyana to:</w:t>
      </w:r>
    </w:p>
    <w:p w14:paraId="7CB2987A" w14:textId="77777777" w:rsidR="00A85D59" w:rsidRPr="0037006E" w:rsidRDefault="00A85D59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6B6BE65C" w14:textId="34D4851C" w:rsidR="001D692F" w:rsidRDefault="001D692F" w:rsidP="001D692F">
      <w:pPr>
        <w:pStyle w:val="SingleTxtG"/>
        <w:numPr>
          <w:ilvl w:val="0"/>
          <w:numId w:val="1"/>
        </w:numPr>
        <w:spacing w:after="0" w:line="276" w:lineRule="auto"/>
        <w:ind w:left="1276" w:right="0" w:hanging="567"/>
        <w:rPr>
          <w:rFonts w:asciiTheme="minorHAnsi" w:eastAsia="MS Mincho" w:hAnsiTheme="minorHAnsi" w:cstheme="minorHAnsi"/>
          <w:sz w:val="24"/>
          <w:szCs w:val="24"/>
          <w:lang w:val="en-US"/>
        </w:rPr>
      </w:pPr>
      <w:r>
        <w:rPr>
          <w:rFonts w:asciiTheme="minorHAnsi" w:eastAsia="MS Mincho" w:hAnsiTheme="minorHAnsi" w:cstheme="minorHAnsi"/>
          <w:sz w:val="24"/>
          <w:szCs w:val="24"/>
          <w:lang w:val="en-US"/>
        </w:rPr>
        <w:t>Strengthen</w:t>
      </w: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 efforts to promote education for all children including girls and children with disabilities.</w:t>
      </w:r>
    </w:p>
    <w:p w14:paraId="08B14180" w14:textId="77777777" w:rsidR="001D692F" w:rsidRDefault="001D692F" w:rsidP="001D692F">
      <w:pPr>
        <w:pStyle w:val="SingleTxtG"/>
        <w:spacing w:after="0" w:line="276" w:lineRule="auto"/>
        <w:ind w:left="1276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10D3AEF9" w14:textId="22E41385" w:rsidR="001D692F" w:rsidRPr="001D692F" w:rsidRDefault="001D692F" w:rsidP="001D692F">
      <w:pPr>
        <w:pStyle w:val="SingleTxtG"/>
        <w:numPr>
          <w:ilvl w:val="0"/>
          <w:numId w:val="1"/>
        </w:numPr>
        <w:spacing w:after="0" w:line="276" w:lineRule="auto"/>
        <w:ind w:left="1276" w:right="0" w:hanging="567"/>
        <w:rPr>
          <w:rFonts w:asciiTheme="minorHAnsi" w:eastAsia="MS Mincho" w:hAnsiTheme="minorHAnsi" w:cstheme="minorHAnsi"/>
          <w:sz w:val="24"/>
          <w:szCs w:val="24"/>
          <w:lang w:val="en-US"/>
        </w:rPr>
      </w:pPr>
      <w:r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Enhance efforts </w:t>
      </w: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 xml:space="preserve">to promote </w:t>
      </w:r>
      <w:r w:rsidRPr="0037006E">
        <w:rPr>
          <w:rFonts w:asciiTheme="minorHAnsi" w:hAnsiTheme="minorHAnsi" w:cstheme="minorHAnsi"/>
          <w:sz w:val="24"/>
          <w:szCs w:val="24"/>
        </w:rPr>
        <w:t xml:space="preserve">gender equality and women empowerment, particularly </w:t>
      </w:r>
      <w:r w:rsidR="00C82EE1">
        <w:rPr>
          <w:rFonts w:asciiTheme="minorHAnsi" w:hAnsiTheme="minorHAnsi" w:cstheme="minorHAnsi"/>
          <w:sz w:val="24"/>
          <w:szCs w:val="24"/>
        </w:rPr>
        <w:t>to</w:t>
      </w:r>
      <w:r w:rsidRPr="0037006E">
        <w:rPr>
          <w:rFonts w:asciiTheme="minorHAnsi" w:hAnsiTheme="minorHAnsi" w:cstheme="minorHAnsi"/>
          <w:sz w:val="24"/>
          <w:szCs w:val="24"/>
        </w:rPr>
        <w:t xml:space="preserve"> mainstream a gender perspective into policies and programmes, and increa</w:t>
      </w:r>
      <w:r w:rsidR="00C82EE1">
        <w:rPr>
          <w:rFonts w:asciiTheme="minorHAnsi" w:hAnsiTheme="minorHAnsi" w:cstheme="minorHAnsi"/>
          <w:sz w:val="24"/>
          <w:szCs w:val="24"/>
        </w:rPr>
        <w:t>se</w:t>
      </w:r>
      <w:r w:rsidRPr="0037006E">
        <w:rPr>
          <w:rFonts w:asciiTheme="minorHAnsi" w:hAnsiTheme="minorHAnsi" w:cstheme="minorHAnsi"/>
          <w:sz w:val="24"/>
          <w:szCs w:val="24"/>
        </w:rPr>
        <w:t xml:space="preserve"> women participation in leadership and decision-making positions.</w:t>
      </w:r>
    </w:p>
    <w:p w14:paraId="3B573664" w14:textId="77777777" w:rsidR="001D692F" w:rsidRPr="0037006E" w:rsidRDefault="001D692F" w:rsidP="001D692F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3453F644" w14:textId="13D5FAF4" w:rsidR="001D692F" w:rsidRDefault="001D692F" w:rsidP="001D692F">
      <w:pPr>
        <w:pStyle w:val="SingleTxtG"/>
        <w:numPr>
          <w:ilvl w:val="0"/>
          <w:numId w:val="1"/>
        </w:numPr>
        <w:spacing w:after="0" w:line="276" w:lineRule="auto"/>
        <w:ind w:left="1276" w:right="0" w:hanging="567"/>
        <w:rPr>
          <w:rFonts w:asciiTheme="minorHAnsi" w:eastAsia="MS Mincho" w:hAnsiTheme="minorHAnsi" w:cstheme="minorHAnsi"/>
          <w:sz w:val="24"/>
          <w:szCs w:val="24"/>
          <w:lang w:val="en-US"/>
        </w:rPr>
      </w:pPr>
      <w:r>
        <w:rPr>
          <w:rFonts w:asciiTheme="minorHAnsi" w:eastAsia="MS Mincho" w:hAnsiTheme="minorHAnsi" w:cstheme="minorHAnsi"/>
          <w:sz w:val="24"/>
          <w:szCs w:val="24"/>
          <w:lang w:val="en-US"/>
        </w:rPr>
        <w:t>Strengthen efforts to address drug trafficking and trafficking in persons, in particular women and girls.</w:t>
      </w:r>
    </w:p>
    <w:p w14:paraId="76B23A44" w14:textId="77777777" w:rsidR="001D692F" w:rsidRPr="0037006E" w:rsidRDefault="001D692F" w:rsidP="001D692F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2E0CCAD3" w14:textId="22CDA99D" w:rsidR="006E470F" w:rsidRPr="001D692F" w:rsidRDefault="001D692F" w:rsidP="001D692F">
      <w:pPr>
        <w:pStyle w:val="SingleTxtG"/>
        <w:numPr>
          <w:ilvl w:val="0"/>
          <w:numId w:val="1"/>
        </w:numPr>
        <w:spacing w:after="0" w:line="276" w:lineRule="auto"/>
        <w:ind w:left="1276" w:right="0" w:hanging="567"/>
        <w:rPr>
          <w:rFonts w:eastAsia="MS Mincho" w:cstheme="minorHAnsi"/>
          <w:sz w:val="24"/>
          <w:szCs w:val="24"/>
          <w:lang w:val="en-US"/>
        </w:rPr>
      </w:pPr>
      <w:r w:rsidRPr="001D692F">
        <w:rPr>
          <w:rFonts w:asciiTheme="minorHAnsi" w:hAnsiTheme="minorHAnsi" w:cstheme="minorHAnsi"/>
          <w:sz w:val="24"/>
          <w:szCs w:val="24"/>
        </w:rPr>
        <w:t>Strengthen efforts to establish the National Human Rights Institution in line with its constitutional requirement and the Paris Principle</w:t>
      </w:r>
      <w:r w:rsidR="00C82EE1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B34EAB" w14:textId="77777777" w:rsidR="00A85D59" w:rsidRPr="0037006E" w:rsidRDefault="00A85D59" w:rsidP="00A85D59">
      <w:pPr>
        <w:pStyle w:val="ListParagraph"/>
        <w:spacing w:after="0" w:line="276" w:lineRule="auto"/>
        <w:ind w:left="0"/>
        <w:rPr>
          <w:rFonts w:eastAsia="MS Mincho" w:cstheme="minorHAnsi"/>
          <w:sz w:val="24"/>
          <w:szCs w:val="24"/>
          <w:lang w:val="en-US"/>
        </w:rPr>
      </w:pPr>
    </w:p>
    <w:p w14:paraId="0B1F0FF1" w14:textId="071FFE2D" w:rsidR="00A85D59" w:rsidRPr="0037006E" w:rsidRDefault="00A85D59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ab/>
        <w:t>We wish Guyana a successful review.</w:t>
      </w:r>
    </w:p>
    <w:p w14:paraId="4D103743" w14:textId="0224E447" w:rsidR="00A85D59" w:rsidRPr="0037006E" w:rsidRDefault="00A85D59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1150A738" w14:textId="30D6BD45" w:rsidR="0037006E" w:rsidRPr="0037006E" w:rsidRDefault="00A85D59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  <w:r w:rsidRPr="0037006E">
        <w:rPr>
          <w:rFonts w:asciiTheme="minorHAnsi" w:eastAsia="MS Mincho" w:hAnsiTheme="minorHAnsi" w:cstheme="minorHAnsi"/>
          <w:sz w:val="24"/>
          <w:szCs w:val="24"/>
          <w:lang w:val="en-US"/>
        </w:rPr>
        <w:tab/>
        <w:t>I thank you.</w:t>
      </w:r>
    </w:p>
    <w:p w14:paraId="3927D9D5" w14:textId="77777777" w:rsidR="0037006E" w:rsidRPr="0037006E" w:rsidRDefault="0037006E" w:rsidP="00A85D59">
      <w:pPr>
        <w:pStyle w:val="SingleTxtG"/>
        <w:spacing w:after="0" w:line="276" w:lineRule="auto"/>
        <w:ind w:left="0" w:right="0"/>
        <w:rPr>
          <w:rFonts w:asciiTheme="minorHAnsi" w:eastAsia="MS Mincho" w:hAnsiTheme="minorHAnsi" w:cstheme="minorHAnsi"/>
          <w:sz w:val="24"/>
          <w:szCs w:val="24"/>
          <w:lang w:val="en-US"/>
        </w:rPr>
      </w:pPr>
    </w:p>
    <w:p w14:paraId="75BCB143" w14:textId="21CB14DE" w:rsidR="0037006E" w:rsidRPr="0037006E" w:rsidRDefault="0037006E" w:rsidP="0037006E">
      <w:pPr>
        <w:jc w:val="center"/>
        <w:rPr>
          <w:rFonts w:cstheme="minorHAnsi"/>
          <w:b/>
          <w:sz w:val="24"/>
          <w:szCs w:val="24"/>
        </w:rPr>
      </w:pPr>
      <w:r w:rsidRPr="0037006E">
        <w:rPr>
          <w:rFonts w:cstheme="minorHAnsi"/>
          <w:b/>
          <w:sz w:val="24"/>
          <w:szCs w:val="24"/>
        </w:rPr>
        <w:t>*****</w:t>
      </w:r>
    </w:p>
    <w:p w14:paraId="62E9554B" w14:textId="0D1D6CEF" w:rsidR="0037006E" w:rsidRPr="0037006E" w:rsidRDefault="0037006E" w:rsidP="0037006E">
      <w:pPr>
        <w:jc w:val="center"/>
        <w:rPr>
          <w:rFonts w:cstheme="minorHAnsi"/>
          <w:b/>
          <w:i/>
          <w:sz w:val="24"/>
          <w:szCs w:val="24"/>
          <w:lang w:val="en-US"/>
        </w:rPr>
      </w:pPr>
      <w:r w:rsidRPr="0037006E">
        <w:rPr>
          <w:rFonts w:cstheme="minorHAnsi"/>
          <w:b/>
          <w:i/>
          <w:sz w:val="24"/>
          <w:szCs w:val="24"/>
        </w:rPr>
        <w:t xml:space="preserve">Serial: </w:t>
      </w:r>
      <w:r w:rsidRPr="0037006E">
        <w:rPr>
          <w:rFonts w:cstheme="minorHAnsi"/>
          <w:b/>
          <w:i/>
          <w:sz w:val="24"/>
          <w:szCs w:val="24"/>
          <w:lang w:val="en-US"/>
        </w:rPr>
        <w:t>42</w:t>
      </w:r>
    </w:p>
    <w:p w14:paraId="2C7A0520" w14:textId="72F81AF6" w:rsidR="0037006E" w:rsidRPr="0037006E" w:rsidRDefault="0037006E" w:rsidP="0037006E">
      <w:pPr>
        <w:jc w:val="center"/>
        <w:rPr>
          <w:rFonts w:cstheme="minorHAnsi"/>
          <w:b/>
          <w:i/>
          <w:sz w:val="24"/>
          <w:szCs w:val="24"/>
        </w:rPr>
      </w:pPr>
      <w:r w:rsidRPr="0037006E">
        <w:rPr>
          <w:rFonts w:cstheme="minorHAnsi"/>
          <w:b/>
          <w:i/>
          <w:sz w:val="24"/>
          <w:szCs w:val="24"/>
        </w:rPr>
        <w:t xml:space="preserve">Speaking time: </w:t>
      </w:r>
      <w:r w:rsidRPr="0037006E">
        <w:rPr>
          <w:rFonts w:cstheme="minorHAnsi"/>
          <w:b/>
          <w:i/>
          <w:sz w:val="24"/>
          <w:szCs w:val="24"/>
          <w:lang w:val="en-US"/>
        </w:rPr>
        <w:t>1 minute 25</w:t>
      </w:r>
      <w:r w:rsidRPr="0037006E">
        <w:rPr>
          <w:rFonts w:cstheme="minorHAnsi"/>
          <w:b/>
          <w:i/>
          <w:sz w:val="24"/>
          <w:szCs w:val="24"/>
        </w:rPr>
        <w:t xml:space="preserve"> seconds</w:t>
      </w:r>
    </w:p>
    <w:p w14:paraId="4F2B8BFA" w14:textId="7A3A8EAA" w:rsidR="0037006E" w:rsidRPr="008614B6" w:rsidRDefault="0037006E" w:rsidP="008614B6">
      <w:pPr>
        <w:jc w:val="center"/>
        <w:rPr>
          <w:rFonts w:cstheme="minorHAnsi"/>
          <w:b/>
          <w:i/>
          <w:sz w:val="24"/>
          <w:szCs w:val="24"/>
        </w:rPr>
      </w:pPr>
      <w:r w:rsidRPr="0037006E">
        <w:rPr>
          <w:rFonts w:cstheme="minorHAnsi"/>
          <w:b/>
          <w:i/>
          <w:sz w:val="24"/>
          <w:szCs w:val="24"/>
        </w:rPr>
        <w:t>Number of words: 1</w:t>
      </w:r>
      <w:r w:rsidR="00DA5371">
        <w:rPr>
          <w:rFonts w:cstheme="minorHAnsi"/>
          <w:b/>
          <w:i/>
          <w:sz w:val="24"/>
          <w:szCs w:val="24"/>
          <w:lang w:val="en-US"/>
        </w:rPr>
        <w:t>79</w:t>
      </w:r>
    </w:p>
    <w:sectPr w:rsidR="0037006E" w:rsidRPr="008614B6" w:rsidSect="00A85D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AF4F" w14:textId="77777777" w:rsidR="0026352B" w:rsidRDefault="0026352B" w:rsidP="00BB065E">
      <w:pPr>
        <w:spacing w:after="0" w:line="240" w:lineRule="auto"/>
      </w:pPr>
      <w:r>
        <w:separator/>
      </w:r>
    </w:p>
  </w:endnote>
  <w:endnote w:type="continuationSeparator" w:id="0">
    <w:p w14:paraId="04796BF6" w14:textId="77777777" w:rsidR="0026352B" w:rsidRDefault="0026352B" w:rsidP="00BB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7215" w14:textId="77777777" w:rsidR="0026352B" w:rsidRDefault="0026352B" w:rsidP="00BB065E">
      <w:pPr>
        <w:spacing w:after="0" w:line="240" w:lineRule="auto"/>
      </w:pPr>
      <w:r>
        <w:separator/>
      </w:r>
    </w:p>
  </w:footnote>
  <w:footnote w:type="continuationSeparator" w:id="0">
    <w:p w14:paraId="03A4243B" w14:textId="77777777" w:rsidR="0026352B" w:rsidRDefault="0026352B" w:rsidP="00BB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9DE"/>
    <w:multiLevelType w:val="hybridMultilevel"/>
    <w:tmpl w:val="3560EA44"/>
    <w:lvl w:ilvl="0" w:tplc="D9F8829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5E"/>
    <w:rsid w:val="001D692F"/>
    <w:rsid w:val="0026352B"/>
    <w:rsid w:val="0037006E"/>
    <w:rsid w:val="003A26E5"/>
    <w:rsid w:val="005B3879"/>
    <w:rsid w:val="005B3BF4"/>
    <w:rsid w:val="0066796E"/>
    <w:rsid w:val="006E470F"/>
    <w:rsid w:val="007D0FE5"/>
    <w:rsid w:val="008614B6"/>
    <w:rsid w:val="00917B66"/>
    <w:rsid w:val="00A85D59"/>
    <w:rsid w:val="00B216B7"/>
    <w:rsid w:val="00B732A5"/>
    <w:rsid w:val="00BB065E"/>
    <w:rsid w:val="00C0712A"/>
    <w:rsid w:val="00C53699"/>
    <w:rsid w:val="00C82EE1"/>
    <w:rsid w:val="00DA5371"/>
    <w:rsid w:val="00E540F1"/>
    <w:rsid w:val="00F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578A"/>
  <w15:chartTrackingRefBased/>
  <w15:docId w15:val="{E6051102-FAB0-4DE2-9D37-7A9C0AE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CH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BB065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aliases w:val="1_G"/>
    <w:basedOn w:val="FootnoteReference"/>
    <w:uiPriority w:val="99"/>
    <w:qFormat/>
    <w:rsid w:val="00BB065E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BB065E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bidi="ar-SA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BB065E"/>
    <w:rPr>
      <w:rFonts w:ascii="Times New Roman" w:eastAsia="Times New Roman" w:hAnsi="Times New Roman" w:cs="Times New Roman"/>
      <w:sz w:val="18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B06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65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65E"/>
    <w:rPr>
      <w:sz w:val="20"/>
      <w:szCs w:val="25"/>
    </w:rPr>
  </w:style>
  <w:style w:type="paragraph" w:styleId="ListParagraph">
    <w:name w:val="List Paragraph"/>
    <w:basedOn w:val="Normal"/>
    <w:uiPriority w:val="34"/>
    <w:qFormat/>
    <w:rsid w:val="007D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5C495-6FF0-44E4-BF9D-C7F117B86317}"/>
</file>

<file path=customXml/itemProps2.xml><?xml version="1.0" encoding="utf-8"?>
<ds:datastoreItem xmlns:ds="http://schemas.openxmlformats.org/officeDocument/2006/customXml" ds:itemID="{D5A60A07-6454-4BD2-91DD-2A21B52632EE}"/>
</file>

<file path=customXml/itemProps3.xml><?xml version="1.0" encoding="utf-8"?>
<ds:datastoreItem xmlns:ds="http://schemas.openxmlformats.org/officeDocument/2006/customXml" ds:itemID="{750A39D9-5255-449C-A24E-E124CDB52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 Billah</dc:creator>
  <cp:keywords/>
  <dc:description/>
  <cp:lastModifiedBy>MissionBangladesh</cp:lastModifiedBy>
  <cp:revision>2</cp:revision>
  <dcterms:created xsi:type="dcterms:W3CDTF">2020-02-14T10:28:00Z</dcterms:created>
  <dcterms:modified xsi:type="dcterms:W3CDTF">2020-02-14T10:28:00Z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