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7FD7F" w14:textId="2A1CAB53" w:rsidR="00295563" w:rsidRPr="00590453" w:rsidRDefault="00590453" w:rsidP="00590453">
      <w:pPr>
        <w:jc w:val="center"/>
        <w:rPr>
          <w:rFonts w:ascii="Arial" w:hAnsi="Arial" w:cs="Arial"/>
          <w:b/>
          <w:lang w:val="fr-CA"/>
        </w:rPr>
      </w:pPr>
      <w:r w:rsidRPr="00590453">
        <w:rPr>
          <w:rFonts w:ascii="Arial" w:hAnsi="Arial" w:cs="Arial"/>
          <w:b/>
          <w:lang w:val="fr-CA"/>
        </w:rPr>
        <w:t>EPU35</w:t>
      </w:r>
    </w:p>
    <w:p w14:paraId="28E551EA" w14:textId="5A7B2EB9" w:rsidR="00590453" w:rsidRPr="00590453" w:rsidRDefault="00590453" w:rsidP="00590453">
      <w:pPr>
        <w:jc w:val="center"/>
        <w:rPr>
          <w:rFonts w:ascii="Arial" w:hAnsi="Arial" w:cs="Arial"/>
          <w:b/>
          <w:lang w:val="fr-CA"/>
        </w:rPr>
      </w:pPr>
      <w:r w:rsidRPr="00590453">
        <w:rPr>
          <w:rFonts w:ascii="Arial" w:hAnsi="Arial" w:cs="Arial"/>
          <w:b/>
          <w:lang w:val="fr-CA"/>
        </w:rPr>
        <w:t>Recommandations du Canada pour l’EPU de la Guinée</w:t>
      </w:r>
      <w:r w:rsidR="00006D63">
        <w:rPr>
          <w:rFonts w:ascii="Arial" w:hAnsi="Arial" w:cs="Arial"/>
          <w:b/>
          <w:lang w:val="fr-CA"/>
        </w:rPr>
        <w:t>-Bissau</w:t>
      </w:r>
    </w:p>
    <w:p w14:paraId="21E928B2" w14:textId="44AE1A74" w:rsidR="00590453" w:rsidRPr="00590453" w:rsidRDefault="00590453" w:rsidP="00590453">
      <w:pPr>
        <w:jc w:val="center"/>
        <w:rPr>
          <w:rFonts w:ascii="Arial" w:hAnsi="Arial" w:cs="Arial"/>
          <w:b/>
          <w:lang w:val="fr-CA"/>
        </w:rPr>
      </w:pPr>
      <w:r w:rsidRPr="00590453">
        <w:rPr>
          <w:rFonts w:ascii="Arial" w:hAnsi="Arial" w:cs="Arial"/>
          <w:b/>
          <w:lang w:val="fr-CA"/>
        </w:rPr>
        <w:t>2</w:t>
      </w:r>
      <w:r w:rsidR="00006D63">
        <w:rPr>
          <w:rFonts w:ascii="Arial" w:hAnsi="Arial" w:cs="Arial"/>
          <w:b/>
          <w:lang w:val="fr-CA"/>
        </w:rPr>
        <w:t>4</w:t>
      </w:r>
      <w:r w:rsidRPr="00590453">
        <w:rPr>
          <w:rFonts w:ascii="Arial" w:hAnsi="Arial" w:cs="Arial"/>
          <w:b/>
          <w:lang w:val="fr-CA"/>
        </w:rPr>
        <w:t xml:space="preserve"> janvier 2020</w:t>
      </w:r>
    </w:p>
    <w:p w14:paraId="5CA72D3E" w14:textId="1657EE56" w:rsidR="00590453" w:rsidRPr="00590453" w:rsidRDefault="00590453" w:rsidP="00590453">
      <w:pPr>
        <w:jc w:val="center"/>
        <w:rPr>
          <w:rFonts w:ascii="Arial" w:hAnsi="Arial" w:cs="Arial"/>
          <w:lang w:val="fr-CA"/>
        </w:rPr>
      </w:pPr>
    </w:p>
    <w:p w14:paraId="769FFF43" w14:textId="77777777" w:rsidR="00006D63" w:rsidRPr="00006D63" w:rsidRDefault="00006D63" w:rsidP="00006D63">
      <w:pPr>
        <w:rPr>
          <w:rFonts w:ascii="Arial" w:hAnsi="Arial" w:cs="Arial"/>
          <w:sz w:val="28"/>
          <w:szCs w:val="28"/>
          <w:lang w:val="fr-CA"/>
        </w:rPr>
      </w:pPr>
      <w:r w:rsidRPr="00006D63">
        <w:rPr>
          <w:rFonts w:ascii="Arial" w:hAnsi="Arial" w:cs="Arial"/>
          <w:sz w:val="28"/>
          <w:szCs w:val="28"/>
          <w:lang w:val="fr-CA"/>
        </w:rPr>
        <w:t>Merci, Madame la Présidente.</w:t>
      </w:r>
    </w:p>
    <w:p w14:paraId="7310B28F" w14:textId="77777777" w:rsidR="00006D63" w:rsidRPr="00006D63" w:rsidRDefault="00006D63" w:rsidP="00006D63">
      <w:pPr>
        <w:rPr>
          <w:rFonts w:ascii="Arial" w:hAnsi="Arial" w:cs="Arial"/>
          <w:sz w:val="28"/>
          <w:szCs w:val="28"/>
          <w:lang w:val="fr-CA"/>
        </w:rPr>
      </w:pPr>
    </w:p>
    <w:p w14:paraId="629F16A7" w14:textId="549EC8B9" w:rsidR="00006D63" w:rsidRPr="00006D63" w:rsidRDefault="00006D63" w:rsidP="00006D63">
      <w:pPr>
        <w:rPr>
          <w:rFonts w:ascii="Arial" w:hAnsi="Arial" w:cs="Arial"/>
          <w:sz w:val="28"/>
          <w:szCs w:val="28"/>
          <w:lang w:val="fr-CA"/>
        </w:rPr>
      </w:pPr>
      <w:r w:rsidRPr="00006D63">
        <w:rPr>
          <w:rFonts w:ascii="Arial" w:hAnsi="Arial" w:cs="Arial"/>
          <w:sz w:val="28"/>
          <w:szCs w:val="28"/>
          <w:lang w:val="fr-CA"/>
        </w:rPr>
        <w:t xml:space="preserve">Le Canada </w:t>
      </w:r>
      <w:r w:rsidR="00CB48DC" w:rsidRPr="00006D63">
        <w:rPr>
          <w:rFonts w:ascii="Arial" w:hAnsi="Arial" w:cs="Arial"/>
          <w:sz w:val="28"/>
          <w:szCs w:val="28"/>
          <w:lang w:val="fr-CA"/>
        </w:rPr>
        <w:t>félicite</w:t>
      </w:r>
      <w:r w:rsidRPr="00006D63">
        <w:rPr>
          <w:rFonts w:ascii="Arial" w:hAnsi="Arial" w:cs="Arial"/>
          <w:sz w:val="28"/>
          <w:szCs w:val="28"/>
          <w:lang w:val="fr-CA"/>
        </w:rPr>
        <w:t xml:space="preserve"> la Guinée-Bissau </w:t>
      </w:r>
      <w:r w:rsidR="00CB48DC">
        <w:rPr>
          <w:rFonts w:ascii="Arial" w:hAnsi="Arial" w:cs="Arial"/>
          <w:sz w:val="28"/>
          <w:szCs w:val="28"/>
          <w:lang w:val="fr-CA"/>
        </w:rPr>
        <w:t>pour</w:t>
      </w:r>
      <w:r w:rsidRPr="00006D63">
        <w:rPr>
          <w:rFonts w:ascii="Arial" w:hAnsi="Arial" w:cs="Arial"/>
          <w:sz w:val="28"/>
          <w:szCs w:val="28"/>
          <w:lang w:val="fr-CA"/>
        </w:rPr>
        <w:t xml:space="preserve"> la nomination d'un cabinet équilibré en termes de genre et l'adoption d'une loi sur la parité des sexes en 2019.</w:t>
      </w:r>
    </w:p>
    <w:p w14:paraId="0C34E481" w14:textId="77777777" w:rsidR="00006D63" w:rsidRPr="00006D63" w:rsidRDefault="00006D63" w:rsidP="00006D63">
      <w:pPr>
        <w:rPr>
          <w:rFonts w:ascii="Arial" w:hAnsi="Arial" w:cs="Arial"/>
          <w:b/>
          <w:sz w:val="28"/>
          <w:szCs w:val="28"/>
          <w:lang w:val="fr-CA"/>
        </w:rPr>
      </w:pPr>
    </w:p>
    <w:p w14:paraId="642EE88D" w14:textId="77777777" w:rsidR="00006D63" w:rsidRPr="00006D63" w:rsidRDefault="00006D63" w:rsidP="00006D63">
      <w:pPr>
        <w:rPr>
          <w:rFonts w:ascii="Arial" w:hAnsi="Arial" w:cs="Arial"/>
          <w:sz w:val="28"/>
          <w:szCs w:val="28"/>
          <w:lang w:val="fr-CA"/>
        </w:rPr>
      </w:pPr>
      <w:r w:rsidRPr="00006D63">
        <w:rPr>
          <w:rFonts w:ascii="Arial" w:hAnsi="Arial" w:cs="Arial"/>
          <w:sz w:val="28"/>
          <w:szCs w:val="28"/>
          <w:lang w:val="fr-CA"/>
        </w:rPr>
        <w:t>Le Canada recommande que la Guinée-Bissau :</w:t>
      </w:r>
    </w:p>
    <w:p w14:paraId="769C5232" w14:textId="77777777" w:rsidR="00006D63" w:rsidRPr="00006D63" w:rsidRDefault="00006D63" w:rsidP="00006D63">
      <w:pPr>
        <w:rPr>
          <w:rFonts w:ascii="Arial" w:hAnsi="Arial" w:cs="Arial"/>
          <w:sz w:val="28"/>
          <w:szCs w:val="28"/>
          <w:lang w:val="fr-CA"/>
        </w:rPr>
      </w:pPr>
    </w:p>
    <w:p w14:paraId="660A345C" w14:textId="77777777" w:rsidR="00006D63" w:rsidRPr="00006D63" w:rsidRDefault="00006D63" w:rsidP="00006D63">
      <w:pPr>
        <w:pStyle w:val="ListParagraph"/>
        <w:numPr>
          <w:ilvl w:val="0"/>
          <w:numId w:val="10"/>
        </w:numPr>
        <w:spacing w:after="0" w:line="240" w:lineRule="auto"/>
        <w:rPr>
          <w:rFonts w:ascii="Arial" w:hAnsi="Arial" w:cs="Arial"/>
          <w:sz w:val="28"/>
          <w:szCs w:val="28"/>
          <w:lang w:val="fr-CA"/>
        </w:rPr>
      </w:pPr>
      <w:r w:rsidRPr="00006D63">
        <w:rPr>
          <w:rFonts w:ascii="Arial" w:hAnsi="Arial" w:cs="Arial"/>
          <w:sz w:val="28"/>
          <w:szCs w:val="28"/>
          <w:lang w:val="fr-CA"/>
        </w:rPr>
        <w:t>Renforce les mesures visant à prévenir le mariage des enfants, notamment la coordination entre les organismes, l'éducation du public et la sensibilisation des filles et des garçons à risque.</w:t>
      </w:r>
    </w:p>
    <w:p w14:paraId="3087925A" w14:textId="77777777" w:rsidR="00006D63" w:rsidRPr="00006D63" w:rsidRDefault="00006D63" w:rsidP="00006D63">
      <w:pPr>
        <w:pStyle w:val="ListParagraph"/>
        <w:spacing w:after="0" w:line="240" w:lineRule="auto"/>
        <w:rPr>
          <w:rFonts w:ascii="Arial" w:hAnsi="Arial" w:cs="Arial"/>
          <w:sz w:val="28"/>
          <w:szCs w:val="28"/>
          <w:lang w:val="fr-CA"/>
        </w:rPr>
      </w:pPr>
    </w:p>
    <w:p w14:paraId="5C0653DF" w14:textId="77777777" w:rsidR="00006D63" w:rsidRPr="00006D63" w:rsidRDefault="00006D63" w:rsidP="00006D63">
      <w:pPr>
        <w:pStyle w:val="ListParagraph"/>
        <w:numPr>
          <w:ilvl w:val="0"/>
          <w:numId w:val="10"/>
        </w:numPr>
        <w:spacing w:after="0" w:line="240" w:lineRule="auto"/>
        <w:rPr>
          <w:rFonts w:ascii="Arial" w:hAnsi="Arial" w:cs="Arial"/>
          <w:sz w:val="28"/>
          <w:szCs w:val="28"/>
          <w:lang w:val="fr-CA"/>
        </w:rPr>
      </w:pPr>
      <w:r w:rsidRPr="00006D63">
        <w:rPr>
          <w:rFonts w:ascii="Arial" w:hAnsi="Arial" w:cs="Arial"/>
          <w:sz w:val="28"/>
          <w:szCs w:val="28"/>
          <w:lang w:val="fr-CA"/>
        </w:rPr>
        <w:t>Mette en œuvre de manière effective la loi fédérale visant à prévenir, combattre et réprimer les mutilations génitales féminines (2011), notamment par des activités de sensibilisation et d'application, en particulier dans les zones à forte prévalence.</w:t>
      </w:r>
    </w:p>
    <w:p w14:paraId="79CC6F4B" w14:textId="77777777" w:rsidR="00006D63" w:rsidRPr="00006D63" w:rsidRDefault="00006D63" w:rsidP="00006D63">
      <w:pPr>
        <w:pStyle w:val="ListParagraph"/>
        <w:spacing w:after="0" w:line="240" w:lineRule="auto"/>
        <w:rPr>
          <w:rFonts w:ascii="Arial" w:hAnsi="Arial" w:cs="Arial"/>
          <w:sz w:val="28"/>
          <w:szCs w:val="28"/>
          <w:lang w:val="fr-CA"/>
        </w:rPr>
      </w:pPr>
    </w:p>
    <w:p w14:paraId="32D695EB" w14:textId="77777777" w:rsidR="00006D63" w:rsidRPr="00006D63" w:rsidRDefault="00006D63" w:rsidP="00006D63">
      <w:pPr>
        <w:pStyle w:val="ListParagraph"/>
        <w:numPr>
          <w:ilvl w:val="0"/>
          <w:numId w:val="10"/>
        </w:numPr>
        <w:spacing w:after="0" w:line="240" w:lineRule="auto"/>
        <w:rPr>
          <w:rFonts w:ascii="Arial" w:hAnsi="Arial" w:cs="Arial"/>
          <w:sz w:val="28"/>
          <w:szCs w:val="28"/>
          <w:lang w:val="fr-CA"/>
        </w:rPr>
      </w:pPr>
      <w:r w:rsidRPr="00006D63">
        <w:rPr>
          <w:rFonts w:ascii="Arial" w:hAnsi="Arial" w:cs="Arial"/>
          <w:sz w:val="28"/>
          <w:szCs w:val="28"/>
          <w:lang w:val="fr-CA"/>
        </w:rPr>
        <w:t>Renforce les efforts visant à prévenir, faire des enquêtes et engager des poursuites aux cas d’infractions liées à la traite des êtres humains visant les enfants, notamment celles liées à la mendicité forcée et au tourisme sexuel.</w:t>
      </w:r>
    </w:p>
    <w:p w14:paraId="6D423402" w14:textId="77777777" w:rsidR="00006D63" w:rsidRPr="00006D63" w:rsidRDefault="00006D63" w:rsidP="00006D63">
      <w:pPr>
        <w:pStyle w:val="ListParagraph"/>
        <w:spacing w:after="0" w:line="240" w:lineRule="auto"/>
        <w:rPr>
          <w:rFonts w:ascii="Arial" w:hAnsi="Arial" w:cs="Arial"/>
          <w:sz w:val="28"/>
          <w:szCs w:val="28"/>
          <w:lang w:val="fr-CA"/>
        </w:rPr>
      </w:pPr>
    </w:p>
    <w:p w14:paraId="7FCCF91B" w14:textId="77777777" w:rsidR="00006D63" w:rsidRDefault="00006D63" w:rsidP="00006D63">
      <w:pPr>
        <w:pStyle w:val="ListParagraph"/>
        <w:numPr>
          <w:ilvl w:val="0"/>
          <w:numId w:val="10"/>
        </w:numPr>
        <w:spacing w:after="0" w:line="240" w:lineRule="auto"/>
        <w:rPr>
          <w:rFonts w:ascii="Arial" w:hAnsi="Arial" w:cs="Arial"/>
          <w:sz w:val="28"/>
          <w:szCs w:val="28"/>
          <w:lang w:val="fr-CA"/>
        </w:rPr>
      </w:pPr>
      <w:r w:rsidRPr="00006D63">
        <w:rPr>
          <w:rFonts w:ascii="Arial" w:hAnsi="Arial" w:cs="Arial"/>
          <w:sz w:val="28"/>
          <w:szCs w:val="28"/>
          <w:lang w:val="fr-CA"/>
        </w:rPr>
        <w:t>Assure la disponibilité de services efficaces et l'accès à la justice pour les enfants victimes de violence, de maltraitance et d'exploitation.</w:t>
      </w:r>
    </w:p>
    <w:p w14:paraId="46B98AEB" w14:textId="77777777" w:rsidR="00006D63" w:rsidRPr="00006D63" w:rsidRDefault="00006D63" w:rsidP="00006D63">
      <w:pPr>
        <w:pStyle w:val="ListParagraph"/>
        <w:rPr>
          <w:rFonts w:ascii="Arial" w:hAnsi="Arial" w:cs="Arial"/>
          <w:sz w:val="28"/>
          <w:szCs w:val="28"/>
          <w:lang w:val="fr-CA"/>
        </w:rPr>
      </w:pPr>
    </w:p>
    <w:p w14:paraId="465F1A0E" w14:textId="602E7410" w:rsidR="00590453" w:rsidRDefault="00006D63" w:rsidP="00006D63">
      <w:pPr>
        <w:pStyle w:val="ListParagraph"/>
        <w:numPr>
          <w:ilvl w:val="0"/>
          <w:numId w:val="10"/>
        </w:numPr>
        <w:spacing w:after="0" w:line="240" w:lineRule="auto"/>
        <w:rPr>
          <w:rFonts w:ascii="Arial" w:hAnsi="Arial" w:cs="Arial"/>
          <w:sz w:val="28"/>
          <w:szCs w:val="28"/>
          <w:lang w:val="fr-CA"/>
        </w:rPr>
      </w:pPr>
      <w:r w:rsidRPr="00006D63">
        <w:rPr>
          <w:rFonts w:ascii="Arial" w:hAnsi="Arial" w:cs="Arial"/>
          <w:sz w:val="28"/>
          <w:szCs w:val="28"/>
          <w:lang w:val="fr-CA"/>
        </w:rPr>
        <w:t>Mette en œuvre de manière effective la loi de 2019 sur la parité des sexes afin que les structures de gouvernance soient plus inclusives et plus équilibrées du point de vue du genre.</w:t>
      </w:r>
    </w:p>
    <w:p w14:paraId="2D4DBB8E" w14:textId="77777777" w:rsidR="00006D63" w:rsidRPr="00006D63" w:rsidRDefault="00006D63" w:rsidP="00006D63">
      <w:pPr>
        <w:ind w:left="360"/>
        <w:rPr>
          <w:rFonts w:ascii="Arial" w:hAnsi="Arial" w:cs="Arial"/>
          <w:sz w:val="28"/>
          <w:szCs w:val="28"/>
          <w:lang w:val="fr-CA"/>
        </w:rPr>
      </w:pPr>
    </w:p>
    <w:p w14:paraId="6D3D28C4" w14:textId="79E3B917" w:rsidR="00006D63" w:rsidRPr="00006D63" w:rsidRDefault="00006D63" w:rsidP="00006D63">
      <w:pPr>
        <w:rPr>
          <w:rFonts w:ascii="Arial" w:hAnsi="Arial" w:cs="Arial"/>
          <w:sz w:val="28"/>
          <w:szCs w:val="28"/>
          <w:lang w:val="fr-CA"/>
        </w:rPr>
      </w:pPr>
      <w:r>
        <w:rPr>
          <w:rFonts w:ascii="Arial" w:hAnsi="Arial" w:cs="Arial"/>
          <w:sz w:val="28"/>
          <w:szCs w:val="28"/>
          <w:lang w:val="fr-CA"/>
        </w:rPr>
        <w:t>Je vous remercie.</w:t>
      </w:r>
      <w:bookmarkStart w:id="0" w:name="_GoBack"/>
      <w:bookmarkEnd w:id="0"/>
    </w:p>
    <w:sectPr w:rsidR="00006D63" w:rsidRPr="00006D63"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63EF1E60"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CB48D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B48DC">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108F6E39"/>
    <w:multiLevelType w:val="hybridMultilevel"/>
    <w:tmpl w:val="927AFA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07317"/>
    <w:multiLevelType w:val="hybridMultilevel"/>
    <w:tmpl w:val="DD5007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4"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5"/>
  </w:num>
  <w:num w:numId="5">
    <w:abstractNumId w:val="5"/>
  </w:num>
  <w:num w:numId="6">
    <w:abstractNumId w:val="5"/>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06D63"/>
    <w:rsid w:val="0003005C"/>
    <w:rsid w:val="00065DE8"/>
    <w:rsid w:val="000737E2"/>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90453"/>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347D4"/>
    <w:rsid w:val="00C447A7"/>
    <w:rsid w:val="00C6479D"/>
    <w:rsid w:val="00C75B47"/>
    <w:rsid w:val="00C8103E"/>
    <w:rsid w:val="00CA07EC"/>
    <w:rsid w:val="00CB48D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B540E4"/>
  <w15:docId w15:val="{9CE8D8CD-AF9E-40AA-81B9-9A30BB9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0913E-D3A9-4A10-A1DE-30AA7BC89FDA}"/>
</file>

<file path=customXml/itemProps2.xml><?xml version="1.0" encoding="utf-8"?>
<ds:datastoreItem xmlns:ds="http://schemas.openxmlformats.org/officeDocument/2006/customXml" ds:itemID="{7633112A-FD1F-4D14-A8F4-DF1C7CB45DBB}"/>
</file>

<file path=customXml/itemProps3.xml><?xml version="1.0" encoding="utf-8"?>
<ds:datastoreItem xmlns:ds="http://schemas.openxmlformats.org/officeDocument/2006/customXml" ds:itemID="{EC16C133-4F40-4E1A-A886-FDBB9FEB5F71}"/>
</file>

<file path=customXml/itemProps4.xml><?xml version="1.0" encoding="utf-8"?>
<ds:datastoreItem xmlns:ds="http://schemas.openxmlformats.org/officeDocument/2006/customXml" ds:itemID="{F4E96001-E1D0-4E42-9BE0-519955ACF4AB}"/>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Lakhani, Magda -GENEV -GR</cp:lastModifiedBy>
  <cp:revision>4</cp:revision>
  <cp:lastPrinted>2018-06-27T06:02:00Z</cp:lastPrinted>
  <dcterms:created xsi:type="dcterms:W3CDTF">2020-01-22T08:51:00Z</dcterms:created>
  <dcterms:modified xsi:type="dcterms:W3CDTF">2020-01-22T08:57:00Z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