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94" w:rsidRPr="00E07603" w:rsidRDefault="00641394" w:rsidP="00641394">
      <w:pPr>
        <w:jc w:val="center"/>
        <w:rPr>
          <w:b/>
          <w:bCs/>
          <w:color w:val="000000"/>
          <w:sz w:val="26"/>
          <w:szCs w:val="26"/>
          <w:lang w:val="en-IN"/>
        </w:rPr>
      </w:pPr>
    </w:p>
    <w:p w:rsidR="00641394" w:rsidRDefault="00641394" w:rsidP="00641394">
      <w:pPr>
        <w:jc w:val="center"/>
        <w:rPr>
          <w:b/>
          <w:bCs/>
          <w:color w:val="000000"/>
          <w:sz w:val="26"/>
          <w:szCs w:val="26"/>
        </w:rPr>
      </w:pPr>
    </w:p>
    <w:p w:rsidR="00641394" w:rsidRDefault="00641394" w:rsidP="00641394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>
            <wp:extent cx="695325" cy="9899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94" w:rsidRPr="001B1BBF" w:rsidRDefault="00641394" w:rsidP="00641394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:rsidR="00641394" w:rsidRPr="00522AD8" w:rsidRDefault="00641394" w:rsidP="00641394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:rsidR="00641394" w:rsidRPr="00522AD8" w:rsidRDefault="00641394" w:rsidP="00641394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641394" w:rsidRPr="0042474C" w:rsidRDefault="00641394" w:rsidP="00641394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proofErr w:type="gramStart"/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</w:t>
      </w:r>
      <w:proofErr w:type="gramEnd"/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حقوق الإنسان</w:t>
      </w:r>
    </w:p>
    <w:p w:rsidR="00641394" w:rsidRDefault="00641394" w:rsidP="00641394">
      <w:pPr>
        <w:spacing w:before="120"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EG"/>
        </w:rPr>
        <w:t>العامل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المعني بالاستعراض الدوري الشامل</w:t>
      </w:r>
    </w:p>
    <w:p w:rsidR="00641394" w:rsidRDefault="00641394" w:rsidP="00641394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641394" w:rsidRDefault="00641394" w:rsidP="0004622A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الدورة </w:t>
      </w:r>
      <w:r w:rsidR="0004622A">
        <w:rPr>
          <w:rFonts w:cs="Simplified Arabic" w:hint="cs"/>
          <w:b/>
          <w:bCs/>
          <w:sz w:val="36"/>
          <w:szCs w:val="36"/>
          <w:rtl/>
          <w:lang w:bidi="ar-EG"/>
        </w:rPr>
        <w:t>الخامسة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>
        <w:rPr>
          <w:rFonts w:cs="Simplified Arabic" w:hint="cs"/>
          <w:b/>
          <w:bCs/>
          <w:sz w:val="36"/>
          <w:szCs w:val="36"/>
          <w:rtl/>
          <w:lang w:bidi="ar-EG"/>
        </w:rPr>
        <w:t>والثلاثون</w:t>
      </w:r>
      <w:proofErr w:type="gramEnd"/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:rsidR="00641394" w:rsidRDefault="00641394" w:rsidP="00641394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p w:rsidR="00641394" w:rsidRDefault="00641394" w:rsidP="00641394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41394" w:rsidRPr="00E174A7" w:rsidRDefault="00641394" w:rsidP="00D8766F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 xml:space="preserve">تقرير </w:t>
      </w:r>
      <w:r w:rsidR="00D8766F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تركيا</w:t>
      </w:r>
    </w:p>
    <w:p w:rsidR="00641394" w:rsidRDefault="00641394" w:rsidP="00641394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:rsidR="00641394" w:rsidRDefault="00641394" w:rsidP="00641394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:rsidR="00641394" w:rsidRDefault="00641394" w:rsidP="00641394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:rsidR="00641394" w:rsidRPr="00E174A7" w:rsidRDefault="00641394" w:rsidP="00641394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</w:t>
      </w:r>
      <w:proofErr w:type="gramStart"/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بيان</w:t>
      </w:r>
      <w:proofErr w:type="gramEnd"/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 xml:space="preserve"> جمهورية مصر العربية)</w:t>
      </w:r>
    </w:p>
    <w:p w:rsidR="00641394" w:rsidRPr="00522AD8" w:rsidRDefault="00641394" w:rsidP="00641394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:rsidR="00641394" w:rsidRDefault="00641394" w:rsidP="00641394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41394" w:rsidRPr="00522AD8" w:rsidRDefault="00641394" w:rsidP="00D8766F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D8766F">
        <w:rPr>
          <w:rFonts w:cs="Simplified Arabic" w:hint="cs"/>
          <w:b/>
          <w:bCs/>
          <w:sz w:val="28"/>
          <w:szCs w:val="28"/>
          <w:rtl/>
          <w:lang w:bidi="ar-EG"/>
        </w:rPr>
        <w:t>28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4622A">
        <w:rPr>
          <w:rFonts w:cs="Simplified Arabic" w:hint="cs"/>
          <w:b/>
          <w:bCs/>
          <w:sz w:val="28"/>
          <w:szCs w:val="28"/>
          <w:rtl/>
          <w:lang w:bidi="ar-EG"/>
        </w:rPr>
        <w:t>يناير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4622A">
        <w:rPr>
          <w:rFonts w:cs="Simplified Arabic" w:hint="cs"/>
          <w:b/>
          <w:bCs/>
          <w:sz w:val="28"/>
          <w:szCs w:val="28"/>
          <w:rtl/>
          <w:lang w:bidi="ar-EG"/>
        </w:rPr>
        <w:t>2020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:rsidR="00641394" w:rsidRPr="00522AD8" w:rsidRDefault="00641394" w:rsidP="00641394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41394" w:rsidRPr="00522AD8" w:rsidRDefault="00641394" w:rsidP="00641394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41394" w:rsidRPr="00F10FEB" w:rsidRDefault="00641394" w:rsidP="00641394">
      <w:pPr>
        <w:spacing w:before="180" w:line="380" w:lineRule="exact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F10FE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lastRenderedPageBreak/>
        <w:t>السيد الرئيس،</w:t>
      </w:r>
    </w:p>
    <w:p w:rsidR="002D64F4" w:rsidRPr="00F26DE9" w:rsidRDefault="00594CF4" w:rsidP="006F13C8">
      <w:pPr>
        <w:spacing w:before="240"/>
        <w:ind w:firstLine="720"/>
        <w:jc w:val="lowKashida"/>
        <w:rPr>
          <w:rFonts w:ascii="Simplified Arabic" w:hAnsi="Simplified Arabic" w:cs="Simplified Arabic"/>
          <w:b/>
          <w:bCs/>
          <w:sz w:val="32"/>
          <w:szCs w:val="32"/>
          <w:lang w:val="en-IN"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تعرب مصر عن قلقها العميق إزاء الانتهاكات المختلفة لحقوق الإنسان </w:t>
      </w:r>
      <w:r w:rsidR="006F13C8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من قبل السلطات التركية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، والتي تشمل </w:t>
      </w:r>
      <w:r w:rsidR="00F26DE9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مصادرة الحق في حرية الرأي والتعبير </w:t>
      </w:r>
      <w:r w:rsidR="00CF380B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والحق في التظاهر السلمي وتكوين الجمعيات </w:t>
      </w:r>
      <w:r w:rsidR="00F26DE9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واستمرار القيود على الحريات الدينية والتمييز ضد الأقليات الاثنية والعرقية واعتقال الصحفيين والقيود </w:t>
      </w:r>
      <w:r w:rsidR="002C2658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المفروضة </w:t>
      </w:r>
      <w:r w:rsidR="00F26DE9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على الإعلام.</w:t>
      </w:r>
    </w:p>
    <w:p w:rsidR="00D56E8F" w:rsidRDefault="00D56E8F" w:rsidP="006F13C8">
      <w:pPr>
        <w:spacing w:before="180"/>
        <w:ind w:firstLine="720"/>
        <w:jc w:val="lowKashida"/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</w:pP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و</w:t>
      </w:r>
      <w:r w:rsidR="006F13C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يعرب وفدنا عن انزعاجه الشديد 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لانتشار التعذيب والمعاملة السيئة </w:t>
      </w:r>
      <w:r w:rsidR="0083758D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بشكل </w:t>
      </w:r>
      <w:proofErr w:type="spellStart"/>
      <w:r w:rsidR="0083758D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ممنهج</w:t>
      </w:r>
      <w:proofErr w:type="spellEnd"/>
      <w:r w:rsidR="0083758D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ب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أماكن الاحتجاز في تركيا، </w:t>
      </w:r>
      <w:r w:rsidR="0083758D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وغياب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ال</w:t>
      </w:r>
      <w:r w:rsidR="002C265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تحقيق في حالات التعذيب المرتكبة، فضلاً عن تزايد حالات الاحتجاز </w:t>
      </w:r>
      <w:r w:rsidR="006F13C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ا</w:t>
      </w:r>
      <w:r w:rsidR="002C265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لتعسفي والاختفاء القسري بكافة أنحاء البلاد.</w:t>
      </w:r>
    </w:p>
    <w:p w:rsidR="00F26DE9" w:rsidRDefault="00F26DE9" w:rsidP="0083758D">
      <w:pPr>
        <w:spacing w:before="180"/>
        <w:ind w:firstLine="720"/>
        <w:jc w:val="lowKashida"/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</w:pP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وتوصي </w:t>
      </w:r>
      <w:proofErr w:type="gramStart"/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مصر</w:t>
      </w:r>
      <w:proofErr w:type="gramEnd"/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بما يلي:</w:t>
      </w:r>
    </w:p>
    <w:p w:rsidR="00CF380B" w:rsidRDefault="00F26DE9" w:rsidP="00CF380B">
      <w:pPr>
        <w:pStyle w:val="ListParagraph"/>
        <w:numPr>
          <w:ilvl w:val="0"/>
          <w:numId w:val="2"/>
        </w:numPr>
        <w:spacing w:before="180"/>
        <w:jc w:val="lowKashida"/>
        <w:rPr>
          <w:rFonts w:ascii="Simplified Arabic" w:hAnsi="Simplified Arabic" w:cs="Simplified Arabic"/>
          <w:b/>
          <w:bCs/>
          <w:spacing w:val="-1"/>
          <w:sz w:val="32"/>
          <w:szCs w:val="32"/>
          <w:lang w:val="en-IN" w:bidi="ar-EG"/>
        </w:rPr>
      </w:pP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اتخاذ إجراءات عاجلة لضمان الامتثال للالتزامات الدولية بموجب القانون الدولي لحقوق الإنسان، وضمان تمتع الجميع دون تمييز بكامل حقوق الإنسان</w:t>
      </w:r>
      <w:r w:rsidR="006F13C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واحترام المعايير الدولية للمحاكمة العادلة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؛</w:t>
      </w:r>
      <w:r w:rsidR="00CF380B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وتعديل القوانين المقيدة لممارسة الحق في حرية الرأي والتعبير، والحق في التظاهر السلمي وتكوين الجمعيات؛ </w:t>
      </w:r>
    </w:p>
    <w:p w:rsidR="00F26DE9" w:rsidRDefault="00F26DE9" w:rsidP="002C2658">
      <w:pPr>
        <w:pStyle w:val="ListParagraph"/>
        <w:numPr>
          <w:ilvl w:val="0"/>
          <w:numId w:val="2"/>
        </w:numPr>
        <w:spacing w:before="180"/>
        <w:jc w:val="lowKashida"/>
        <w:rPr>
          <w:rFonts w:ascii="Simplified Arabic" w:hAnsi="Simplified Arabic" w:cs="Simplified Arabic"/>
          <w:b/>
          <w:bCs/>
          <w:spacing w:val="-1"/>
          <w:sz w:val="32"/>
          <w:szCs w:val="32"/>
          <w:lang w:val="en-IN" w:bidi="ar-EG"/>
        </w:rPr>
      </w:pP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</w:t>
      </w:r>
      <w:proofErr w:type="gramStart"/>
      <w:r w:rsidR="002C265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التحقيق</w:t>
      </w:r>
      <w:proofErr w:type="gramEnd"/>
      <w:r w:rsidR="002C265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</w:t>
      </w:r>
      <w:r w:rsidR="002C2658"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  <w:t xml:space="preserve">الفوري </w:t>
      </w:r>
      <w:r w:rsidR="002C265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والمستقل </w:t>
      </w:r>
      <w:r w:rsidR="002C2658"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  <w:t xml:space="preserve">والفعال في </w:t>
      </w:r>
      <w:r w:rsidR="002C265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حالات</w:t>
      </w:r>
      <w:r w:rsidR="002C2658"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  <w:t xml:space="preserve"> </w:t>
      </w:r>
      <w:r w:rsidR="002C2658" w:rsidRPr="002C2658"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  <w:t xml:space="preserve">التعذيب أو سوء المعاملة أثناء الاحتجاز واتخاذ تدابير قضائية </w:t>
      </w:r>
      <w:r w:rsidR="00594CF4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لوقف</w:t>
      </w:r>
      <w:r w:rsidR="002C265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تلك الأفعال، ومنع الإفلات من العقاب، وتعويض الضحايا؛</w:t>
      </w:r>
    </w:p>
    <w:p w:rsidR="00F26DE9" w:rsidRDefault="00F26DE9" w:rsidP="006F13C8">
      <w:pPr>
        <w:pStyle w:val="ListParagraph"/>
        <w:numPr>
          <w:ilvl w:val="0"/>
          <w:numId w:val="2"/>
        </w:numPr>
        <w:spacing w:before="180"/>
        <w:jc w:val="lowKashida"/>
        <w:rPr>
          <w:rFonts w:ascii="Simplified Arabic" w:hAnsi="Simplified Arabic" w:cs="Simplified Arabic"/>
          <w:b/>
          <w:bCs/>
          <w:spacing w:val="-1"/>
          <w:sz w:val="32"/>
          <w:szCs w:val="32"/>
          <w:lang w:val="en-IN" w:bidi="ar-EG"/>
        </w:rPr>
      </w:pP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إلغاء الإجراءات غير القانونية </w:t>
      </w:r>
      <w:r w:rsidR="006F13C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ب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فصل عشرات الآلاف من مناصبهم الحكومية؛ </w:t>
      </w:r>
      <w:r w:rsidR="006F13C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وقرارات عزل المسئولين المنتخبين ديمقراطياً؛ وإطلاق سراح من تم القبض عليه من هؤلاء المسئولين، 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وتعويض </w:t>
      </w:r>
      <w:r w:rsidR="006F13C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المتضررين من تلك الإجراءات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؛</w:t>
      </w:r>
    </w:p>
    <w:p w:rsidR="00CF380B" w:rsidRPr="00F26DE9" w:rsidRDefault="00CF380B" w:rsidP="006F13C8">
      <w:pPr>
        <w:pStyle w:val="ListParagraph"/>
        <w:numPr>
          <w:ilvl w:val="0"/>
          <w:numId w:val="2"/>
        </w:numPr>
        <w:spacing w:before="180"/>
        <w:jc w:val="lowKashida"/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</w:pP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وقف </w:t>
      </w:r>
      <w:r w:rsidRPr="00CF380B"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  <w:t xml:space="preserve">تدخل </w:t>
      </w:r>
      <w:r w:rsidR="006F13C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السلطة التنفيذية</w:t>
      </w:r>
      <w:r w:rsidRPr="00CF380B"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  <w:t xml:space="preserve"> في نظام العدالة الجنائية وفي التحقيقات الجنائية المتعلقة </w:t>
      </w:r>
      <w:r w:rsidR="00594CF4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باتهامات</w:t>
      </w:r>
      <w:r w:rsidRPr="00CF380B"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  <w:t xml:space="preserve"> الفساد المرتبطة </w:t>
      </w:r>
      <w:r w:rsidR="006F13C8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بكبار المسئولين في الدولة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.</w:t>
      </w:r>
    </w:p>
    <w:sectPr w:rsidR="00CF380B" w:rsidRPr="00F26DE9" w:rsidSect="00C8675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588"/>
    <w:multiLevelType w:val="hybridMultilevel"/>
    <w:tmpl w:val="F244BD8E"/>
    <w:lvl w:ilvl="0" w:tplc="FA925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302F0"/>
    <w:multiLevelType w:val="hybridMultilevel"/>
    <w:tmpl w:val="EB582CAE"/>
    <w:lvl w:ilvl="0" w:tplc="897E277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94"/>
    <w:rsid w:val="0004622A"/>
    <w:rsid w:val="002C2658"/>
    <w:rsid w:val="002D64F4"/>
    <w:rsid w:val="003F7E96"/>
    <w:rsid w:val="00594CF4"/>
    <w:rsid w:val="00641394"/>
    <w:rsid w:val="006F13C8"/>
    <w:rsid w:val="007044A7"/>
    <w:rsid w:val="00733D9A"/>
    <w:rsid w:val="0083758D"/>
    <w:rsid w:val="008E53E5"/>
    <w:rsid w:val="00CF380B"/>
    <w:rsid w:val="00D56E8F"/>
    <w:rsid w:val="00D8766F"/>
    <w:rsid w:val="00D90954"/>
    <w:rsid w:val="00F26DE9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9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2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9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2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ED6C0-66F0-4D20-B4FF-DC5E39F87121}"/>
</file>

<file path=customXml/itemProps2.xml><?xml version="1.0" encoding="utf-8"?>
<ds:datastoreItem xmlns:ds="http://schemas.openxmlformats.org/officeDocument/2006/customXml" ds:itemID="{EDC73504-F1EA-4F7A-958E-A6B4FC73C746}"/>
</file>

<file path=customXml/itemProps3.xml><?xml version="1.0" encoding="utf-8"?>
<ds:datastoreItem xmlns:ds="http://schemas.openxmlformats.org/officeDocument/2006/customXml" ds:itemID="{A024E51E-5F61-43A4-A700-C4EFADEC3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Ayman Ammar</cp:lastModifiedBy>
  <cp:revision>4</cp:revision>
  <cp:lastPrinted>2020-01-09T10:22:00Z</cp:lastPrinted>
  <dcterms:created xsi:type="dcterms:W3CDTF">2020-01-09T10:19:00Z</dcterms:created>
  <dcterms:modified xsi:type="dcterms:W3CDTF">2020-01-13T10:57:00Z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