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76B3F" w14:textId="77777777" w:rsidR="00912062" w:rsidRDefault="00912062" w:rsidP="0046547A">
      <w:pPr>
        <w:spacing w:line="240" w:lineRule="auto"/>
        <w:jc w:val="right"/>
        <w:outlineLvl w:val="0"/>
        <w:rPr>
          <w:rFonts w:ascii="Arial" w:eastAsiaTheme="minorHAnsi" w:hAnsi="Arial" w:cs="Arial"/>
          <w:bCs/>
          <w:i/>
          <w:sz w:val="24"/>
          <w:szCs w:val="24"/>
          <w:u w:val="single"/>
          <w:lang w:eastAsia="en-GB"/>
        </w:rPr>
      </w:pPr>
      <w:bookmarkStart w:id="0" w:name="_GoBack"/>
      <w:bookmarkEnd w:id="0"/>
      <w:r>
        <w:rPr>
          <w:rFonts w:ascii="Arial" w:hAnsi="Arial" w:cs="Arial"/>
          <w:bCs/>
          <w:sz w:val="24"/>
          <w:szCs w:val="24"/>
        </w:rPr>
        <w:tab/>
      </w:r>
      <w:r>
        <w:rPr>
          <w:rFonts w:ascii="Arial" w:eastAsiaTheme="minorHAnsi" w:hAnsi="Arial" w:cs="Arial"/>
          <w:bCs/>
          <w:sz w:val="24"/>
          <w:szCs w:val="24"/>
          <w:lang w:val="en-US"/>
        </w:rPr>
        <w:t xml:space="preserve">       </w:t>
      </w:r>
      <w:r>
        <w:rPr>
          <w:rFonts w:ascii="Arial" w:eastAsiaTheme="minorHAnsi" w:hAnsi="Arial" w:cs="Arial"/>
          <w:bCs/>
          <w:i/>
          <w:sz w:val="24"/>
          <w:szCs w:val="24"/>
          <w:u w:val="single"/>
          <w:lang w:eastAsia="en-GB"/>
        </w:rPr>
        <w:t>Check against delivery</w:t>
      </w:r>
    </w:p>
    <w:p w14:paraId="449A089C" w14:textId="77777777" w:rsidR="00912062" w:rsidRDefault="00912062" w:rsidP="0046547A">
      <w:pPr>
        <w:suppressAutoHyphens w:val="0"/>
        <w:autoSpaceDE w:val="0"/>
        <w:autoSpaceDN w:val="0"/>
        <w:adjustRightInd w:val="0"/>
        <w:spacing w:line="240" w:lineRule="auto"/>
        <w:jc w:val="center"/>
        <w:rPr>
          <w:rFonts w:ascii="Arial" w:eastAsiaTheme="minorHAnsi" w:hAnsi="Arial" w:cs="Arial"/>
          <w:bCs/>
          <w:sz w:val="24"/>
          <w:szCs w:val="24"/>
        </w:rPr>
      </w:pPr>
    </w:p>
    <w:p w14:paraId="64490F67" w14:textId="77777777" w:rsidR="00912062" w:rsidRDefault="00912062" w:rsidP="0046547A">
      <w:pPr>
        <w:suppressAutoHyphens w:val="0"/>
        <w:autoSpaceDE w:val="0"/>
        <w:autoSpaceDN w:val="0"/>
        <w:adjustRightInd w:val="0"/>
        <w:spacing w:line="240" w:lineRule="auto"/>
        <w:jc w:val="center"/>
        <w:rPr>
          <w:rFonts w:ascii="Arial" w:eastAsiaTheme="minorHAnsi" w:hAnsi="Arial" w:cs="Arial"/>
          <w:bCs/>
          <w:sz w:val="24"/>
          <w:szCs w:val="24"/>
        </w:rPr>
      </w:pPr>
      <w:r>
        <w:rPr>
          <w:rFonts w:ascii="Arial" w:eastAsiaTheme="minorHAnsi" w:hAnsi="Arial" w:cs="Arial"/>
          <w:noProof/>
          <w:sz w:val="24"/>
          <w:szCs w:val="24"/>
          <w:lang w:eastAsia="en-GB"/>
        </w:rPr>
        <w:drawing>
          <wp:inline distT="0" distB="0" distL="0" distR="0" wp14:anchorId="4A19337B" wp14:editId="43D8D5E4">
            <wp:extent cx="1057275" cy="1143000"/>
            <wp:effectExtent l="0" t="0" r="9525" b="0"/>
            <wp:docPr id="1" name="Picture 1"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l="13448" r="16960"/>
                    <a:stretch>
                      <a:fillRect/>
                    </a:stretch>
                  </pic:blipFill>
                  <pic:spPr bwMode="auto">
                    <a:xfrm>
                      <a:off x="0" y="0"/>
                      <a:ext cx="1057275" cy="1143000"/>
                    </a:xfrm>
                    <a:prstGeom prst="rect">
                      <a:avLst/>
                    </a:prstGeom>
                    <a:noFill/>
                    <a:ln>
                      <a:noFill/>
                    </a:ln>
                  </pic:spPr>
                </pic:pic>
              </a:graphicData>
            </a:graphic>
          </wp:inline>
        </w:drawing>
      </w:r>
    </w:p>
    <w:p w14:paraId="61E0CE3D" w14:textId="77777777" w:rsidR="00912062" w:rsidRDefault="00912062" w:rsidP="0046547A">
      <w:pPr>
        <w:suppressAutoHyphens w:val="0"/>
        <w:autoSpaceDE w:val="0"/>
        <w:autoSpaceDN w:val="0"/>
        <w:adjustRightInd w:val="0"/>
        <w:spacing w:line="240" w:lineRule="auto"/>
        <w:jc w:val="center"/>
        <w:rPr>
          <w:rFonts w:ascii="Arial" w:eastAsiaTheme="minorHAnsi" w:hAnsi="Arial" w:cs="Arial"/>
          <w:bCs/>
          <w:sz w:val="24"/>
          <w:szCs w:val="24"/>
        </w:rPr>
      </w:pPr>
    </w:p>
    <w:p w14:paraId="0854E29D" w14:textId="77777777" w:rsidR="00912062" w:rsidRDefault="00912062" w:rsidP="0046547A">
      <w:pPr>
        <w:suppressAutoHyphens w:val="0"/>
        <w:autoSpaceDE w:val="0"/>
        <w:autoSpaceDN w:val="0"/>
        <w:adjustRightInd w:val="0"/>
        <w:spacing w:line="240" w:lineRule="auto"/>
        <w:jc w:val="center"/>
        <w:rPr>
          <w:rFonts w:ascii="Arial" w:eastAsiaTheme="minorHAnsi" w:hAnsi="Arial" w:cs="Arial"/>
          <w:bCs/>
          <w:sz w:val="24"/>
          <w:szCs w:val="24"/>
        </w:rPr>
      </w:pPr>
      <w:r>
        <w:rPr>
          <w:rFonts w:ascii="Arial" w:eastAsiaTheme="minorHAnsi" w:hAnsi="Arial" w:cs="Arial"/>
          <w:bCs/>
          <w:sz w:val="24"/>
          <w:szCs w:val="24"/>
        </w:rPr>
        <w:t>35</w:t>
      </w:r>
      <w:r>
        <w:rPr>
          <w:rFonts w:ascii="Arial" w:eastAsiaTheme="minorHAnsi" w:hAnsi="Arial" w:cs="Arial"/>
          <w:bCs/>
          <w:sz w:val="24"/>
          <w:szCs w:val="24"/>
          <w:vertAlign w:val="superscript"/>
        </w:rPr>
        <w:t>th</w:t>
      </w:r>
      <w:r>
        <w:rPr>
          <w:rFonts w:ascii="Arial" w:eastAsiaTheme="minorHAnsi" w:hAnsi="Arial" w:cs="Arial"/>
          <w:bCs/>
          <w:sz w:val="24"/>
          <w:szCs w:val="24"/>
        </w:rPr>
        <w:t xml:space="preserve"> session of the UPR Working Group</w:t>
      </w:r>
    </w:p>
    <w:p w14:paraId="3B865C74" w14:textId="77777777" w:rsidR="00912062" w:rsidRDefault="00912062" w:rsidP="0046547A">
      <w:pPr>
        <w:suppressAutoHyphens w:val="0"/>
        <w:autoSpaceDE w:val="0"/>
        <w:autoSpaceDN w:val="0"/>
        <w:adjustRightInd w:val="0"/>
        <w:spacing w:line="240" w:lineRule="auto"/>
        <w:jc w:val="center"/>
        <w:rPr>
          <w:rFonts w:ascii="Arial" w:eastAsiaTheme="minorHAnsi" w:hAnsi="Arial" w:cs="Arial"/>
          <w:bCs/>
          <w:sz w:val="24"/>
          <w:szCs w:val="24"/>
        </w:rPr>
      </w:pPr>
      <w:r>
        <w:rPr>
          <w:rFonts w:ascii="Arial" w:eastAsiaTheme="minorHAnsi" w:hAnsi="Arial" w:cs="Arial"/>
          <w:bCs/>
          <w:sz w:val="24"/>
          <w:szCs w:val="24"/>
        </w:rPr>
        <w:t>Mongolia’s statement at the Review of the State of Kuwait</w:t>
      </w:r>
    </w:p>
    <w:p w14:paraId="2C95A98E" w14:textId="77777777" w:rsidR="00912062" w:rsidRDefault="00912062" w:rsidP="0046547A">
      <w:pPr>
        <w:suppressAutoHyphens w:val="0"/>
        <w:autoSpaceDE w:val="0"/>
        <w:autoSpaceDN w:val="0"/>
        <w:adjustRightInd w:val="0"/>
        <w:spacing w:line="240" w:lineRule="auto"/>
        <w:jc w:val="center"/>
        <w:rPr>
          <w:rFonts w:ascii="Arial" w:eastAsiaTheme="minorHAnsi" w:hAnsi="Arial" w:cs="Arial"/>
          <w:bCs/>
          <w:sz w:val="24"/>
          <w:szCs w:val="24"/>
        </w:rPr>
      </w:pPr>
      <w:r>
        <w:rPr>
          <w:rFonts w:ascii="Arial" w:eastAsiaTheme="minorHAnsi" w:hAnsi="Arial" w:cs="Arial"/>
          <w:bCs/>
          <w:sz w:val="24"/>
          <w:szCs w:val="24"/>
        </w:rPr>
        <w:t>29 January 2020</w:t>
      </w:r>
    </w:p>
    <w:p w14:paraId="04967725" w14:textId="77777777" w:rsidR="00912062" w:rsidRDefault="00912062" w:rsidP="0046547A">
      <w:pPr>
        <w:widowControl w:val="0"/>
        <w:suppressAutoHyphens w:val="0"/>
        <w:autoSpaceDE w:val="0"/>
        <w:autoSpaceDN w:val="0"/>
        <w:adjustRightInd w:val="0"/>
        <w:spacing w:line="240" w:lineRule="auto"/>
        <w:jc w:val="both"/>
        <w:rPr>
          <w:rFonts w:ascii="Arial" w:eastAsiaTheme="minorEastAsia" w:hAnsi="Arial" w:cs="Arial"/>
          <w:bCs/>
          <w:sz w:val="24"/>
          <w:szCs w:val="24"/>
          <w:lang w:val="en-US"/>
        </w:rPr>
      </w:pPr>
    </w:p>
    <w:p w14:paraId="1B656FA8" w14:textId="77777777" w:rsidR="00912062" w:rsidRDefault="00912062" w:rsidP="0046547A">
      <w:pPr>
        <w:widowControl w:val="0"/>
        <w:suppressAutoHyphens w:val="0"/>
        <w:autoSpaceDE w:val="0"/>
        <w:autoSpaceDN w:val="0"/>
        <w:adjustRightInd w:val="0"/>
        <w:spacing w:line="240" w:lineRule="auto"/>
        <w:jc w:val="both"/>
        <w:rPr>
          <w:rFonts w:ascii="Arial" w:eastAsiaTheme="minorEastAsia" w:hAnsi="Arial" w:cs="Arial"/>
          <w:bCs/>
          <w:sz w:val="24"/>
          <w:szCs w:val="24"/>
          <w:lang w:val="en-US"/>
        </w:rPr>
      </w:pPr>
    </w:p>
    <w:p w14:paraId="1D792FC3" w14:textId="77777777" w:rsidR="00912062" w:rsidRDefault="00912062" w:rsidP="0046547A">
      <w:pPr>
        <w:widowControl w:val="0"/>
        <w:suppressAutoHyphens w:val="0"/>
        <w:autoSpaceDE w:val="0"/>
        <w:autoSpaceDN w:val="0"/>
        <w:adjustRightInd w:val="0"/>
        <w:spacing w:line="240" w:lineRule="auto"/>
        <w:jc w:val="both"/>
        <w:rPr>
          <w:rFonts w:ascii="Arial" w:eastAsiaTheme="minorEastAsia" w:hAnsi="Arial" w:cs="Arial"/>
          <w:bCs/>
          <w:sz w:val="24"/>
          <w:szCs w:val="24"/>
          <w:lang w:val="en-US"/>
        </w:rPr>
      </w:pPr>
      <w:r>
        <w:rPr>
          <w:rFonts w:ascii="Arial" w:eastAsiaTheme="minorEastAsia" w:hAnsi="Arial" w:cs="Arial"/>
          <w:bCs/>
          <w:sz w:val="24"/>
          <w:szCs w:val="24"/>
          <w:lang w:val="en-US"/>
        </w:rPr>
        <w:t>Madame President,</w:t>
      </w:r>
    </w:p>
    <w:p w14:paraId="4D2A1A5D" w14:textId="77777777" w:rsidR="00912062" w:rsidRDefault="00912062" w:rsidP="0046547A">
      <w:pPr>
        <w:widowControl w:val="0"/>
        <w:suppressAutoHyphens w:val="0"/>
        <w:autoSpaceDE w:val="0"/>
        <w:autoSpaceDN w:val="0"/>
        <w:adjustRightInd w:val="0"/>
        <w:spacing w:line="240" w:lineRule="auto"/>
        <w:jc w:val="both"/>
        <w:rPr>
          <w:rFonts w:ascii="Arial" w:eastAsiaTheme="minorEastAsia" w:hAnsi="Arial" w:cs="Arial"/>
          <w:bCs/>
          <w:sz w:val="24"/>
          <w:szCs w:val="24"/>
          <w:lang w:val="en-US"/>
        </w:rPr>
      </w:pPr>
    </w:p>
    <w:p w14:paraId="63424969" w14:textId="77777777" w:rsidR="00912062" w:rsidRDefault="00912062" w:rsidP="0046547A">
      <w:pPr>
        <w:widowControl w:val="0"/>
        <w:suppressAutoHyphens w:val="0"/>
        <w:autoSpaceDE w:val="0"/>
        <w:autoSpaceDN w:val="0"/>
        <w:adjustRightInd w:val="0"/>
        <w:spacing w:line="240" w:lineRule="auto"/>
        <w:jc w:val="both"/>
        <w:rPr>
          <w:rFonts w:ascii="Arial" w:eastAsiaTheme="minorEastAsia" w:hAnsi="Arial" w:cs="Arial"/>
          <w:bCs/>
          <w:sz w:val="24"/>
          <w:szCs w:val="24"/>
          <w:lang w:val="en-US"/>
        </w:rPr>
      </w:pPr>
    </w:p>
    <w:p w14:paraId="01072301" w14:textId="77777777" w:rsidR="00912062" w:rsidRDefault="00912062" w:rsidP="0046547A">
      <w:pPr>
        <w:pStyle w:val="H23G"/>
        <w:spacing w:before="0" w:after="0" w:line="240" w:lineRule="auto"/>
        <w:ind w:left="0" w:right="0" w:firstLine="0"/>
        <w:jc w:val="both"/>
        <w:rPr>
          <w:rFonts w:ascii="Arial" w:hAnsi="Arial" w:cs="Arial"/>
          <w:b w:val="0"/>
          <w:bCs/>
          <w:sz w:val="24"/>
          <w:szCs w:val="24"/>
        </w:rPr>
      </w:pPr>
      <w:r>
        <w:rPr>
          <w:rFonts w:ascii="Arial" w:hAnsi="Arial" w:cs="Arial"/>
          <w:b w:val="0"/>
          <w:bCs/>
          <w:sz w:val="24"/>
          <w:szCs w:val="24"/>
        </w:rPr>
        <w:t xml:space="preserve">Mongolia welcomes Act No. 109 of 2014 allowing individuals to file an appeal with the Constitutional Court challenging the constitutionality of any law or regulation they deem to be in conflict with the Constitution.  </w:t>
      </w:r>
    </w:p>
    <w:p w14:paraId="09D69962" w14:textId="77777777" w:rsidR="00912062" w:rsidRDefault="00912062" w:rsidP="0046547A">
      <w:pPr>
        <w:pStyle w:val="SingleTxtG"/>
        <w:spacing w:after="0" w:line="240" w:lineRule="auto"/>
        <w:ind w:left="0" w:right="20"/>
        <w:rPr>
          <w:rFonts w:ascii="Arial" w:hAnsi="Arial" w:cs="Arial"/>
          <w:bCs/>
          <w:sz w:val="24"/>
          <w:szCs w:val="24"/>
        </w:rPr>
      </w:pPr>
    </w:p>
    <w:p w14:paraId="08C70B0A" w14:textId="77777777" w:rsidR="00912062" w:rsidRDefault="00912062" w:rsidP="0046547A">
      <w:pPr>
        <w:pStyle w:val="Bullet1G"/>
        <w:numPr>
          <w:ilvl w:val="0"/>
          <w:numId w:val="0"/>
        </w:numPr>
        <w:tabs>
          <w:tab w:val="left" w:pos="720"/>
        </w:tabs>
        <w:spacing w:after="0" w:line="240" w:lineRule="auto"/>
        <w:ind w:right="20" w:firstLine="10"/>
        <w:rPr>
          <w:rFonts w:ascii="Arial" w:hAnsi="Arial" w:cs="Arial"/>
          <w:bCs/>
          <w:sz w:val="24"/>
          <w:szCs w:val="24"/>
        </w:rPr>
      </w:pPr>
      <w:r>
        <w:rPr>
          <w:rFonts w:ascii="Arial" w:hAnsi="Arial" w:cs="Arial"/>
          <w:bCs/>
          <w:sz w:val="24"/>
          <w:szCs w:val="24"/>
        </w:rPr>
        <w:t xml:space="preserve">Mongolia welcomes the establishment of child protection centres and a 24/7 helpline for children. </w:t>
      </w:r>
      <w:r>
        <w:rPr>
          <w:rFonts w:ascii="Arial" w:hAnsi="Arial" w:cs="Arial"/>
          <w:bCs/>
          <w:sz w:val="24"/>
          <w:szCs w:val="24"/>
          <w:lang w:val="en-US"/>
        </w:rPr>
        <w:t xml:space="preserve">Equally </w:t>
      </w:r>
      <w:r>
        <w:rPr>
          <w:rFonts w:ascii="Arial" w:hAnsi="Arial" w:cs="Arial"/>
          <w:bCs/>
          <w:sz w:val="24"/>
          <w:szCs w:val="24"/>
        </w:rPr>
        <w:t>important was the creation of an office for the protection of children’s rights within the Ministry of Health.</w:t>
      </w:r>
    </w:p>
    <w:p w14:paraId="56FF33B8" w14:textId="77777777" w:rsidR="00912062" w:rsidRDefault="00912062" w:rsidP="0046547A">
      <w:pPr>
        <w:pStyle w:val="SingleTxtG"/>
        <w:spacing w:after="0" w:line="240" w:lineRule="auto"/>
        <w:ind w:left="0" w:right="20"/>
        <w:rPr>
          <w:rFonts w:ascii="Arial" w:hAnsi="Arial" w:cs="Arial"/>
          <w:bCs/>
          <w:sz w:val="24"/>
          <w:szCs w:val="24"/>
        </w:rPr>
      </w:pPr>
    </w:p>
    <w:p w14:paraId="176FFB11" w14:textId="5A74E81E" w:rsidR="00912062" w:rsidRDefault="00912062" w:rsidP="0046547A">
      <w:pPr>
        <w:pStyle w:val="SingleTxtG"/>
        <w:spacing w:after="0" w:line="240" w:lineRule="auto"/>
        <w:ind w:left="0" w:right="20"/>
        <w:rPr>
          <w:rFonts w:ascii="Arial" w:hAnsi="Arial" w:cs="Arial"/>
          <w:bCs/>
          <w:sz w:val="24"/>
          <w:szCs w:val="24"/>
        </w:rPr>
      </w:pPr>
      <w:r>
        <w:rPr>
          <w:rFonts w:ascii="Arial" w:hAnsi="Arial" w:cs="Arial"/>
          <w:bCs/>
          <w:sz w:val="24"/>
          <w:szCs w:val="24"/>
        </w:rPr>
        <w:t xml:space="preserve">Mongolia is inspired by Kuwait’s disability policy including early intervention services; educational support for children with disabilities; centres and institutions for </w:t>
      </w:r>
      <w:proofErr w:type="spellStart"/>
      <w:r>
        <w:rPr>
          <w:rFonts w:ascii="Arial" w:hAnsi="Arial" w:cs="Arial"/>
          <w:bCs/>
          <w:sz w:val="24"/>
          <w:szCs w:val="24"/>
        </w:rPr>
        <w:t>habilitation</w:t>
      </w:r>
      <w:proofErr w:type="spellEnd"/>
      <w:r>
        <w:rPr>
          <w:rFonts w:ascii="Arial" w:hAnsi="Arial" w:cs="Arial"/>
          <w:bCs/>
          <w:sz w:val="24"/>
          <w:szCs w:val="24"/>
        </w:rPr>
        <w:t>;</w:t>
      </w:r>
      <w:r w:rsidR="0046547A">
        <w:rPr>
          <w:rFonts w:ascii="Arial" w:hAnsi="Arial" w:cs="Arial"/>
          <w:bCs/>
          <w:sz w:val="24"/>
          <w:szCs w:val="24"/>
        </w:rPr>
        <w:t xml:space="preserve"> </w:t>
      </w:r>
      <w:r>
        <w:rPr>
          <w:rFonts w:ascii="Arial" w:hAnsi="Arial" w:cs="Arial"/>
          <w:bCs/>
          <w:sz w:val="24"/>
          <w:szCs w:val="24"/>
        </w:rPr>
        <w:t xml:space="preserve">pensions for those caring for a person with a disability; support to form a family; housing welfare etc. We particularly commend the Rights of Persons with Disabilities Act No. 8 of 2010, which established a quota for employment of persons with disabilities by government and the private sector. We are also inspired by the projects and programmes run by the Public Authority for Persons with Disabilities, such as the “Partners in Employment” campaign. </w:t>
      </w:r>
    </w:p>
    <w:p w14:paraId="3DFF7578" w14:textId="77777777" w:rsidR="00912062" w:rsidRDefault="00912062" w:rsidP="0046547A">
      <w:pPr>
        <w:pStyle w:val="SingleTxtG"/>
        <w:spacing w:after="0" w:line="240" w:lineRule="auto"/>
        <w:ind w:left="0" w:right="20"/>
        <w:rPr>
          <w:rFonts w:ascii="Arial" w:hAnsi="Arial" w:cs="Arial"/>
          <w:bCs/>
          <w:sz w:val="24"/>
          <w:szCs w:val="24"/>
        </w:rPr>
      </w:pPr>
    </w:p>
    <w:p w14:paraId="0C4A6293" w14:textId="77777777" w:rsidR="00912062" w:rsidRDefault="00912062" w:rsidP="0046547A">
      <w:pPr>
        <w:pStyle w:val="SingleTxtG"/>
        <w:spacing w:after="0" w:line="240" w:lineRule="auto"/>
        <w:ind w:left="0" w:right="20"/>
        <w:rPr>
          <w:rFonts w:ascii="Arial" w:hAnsi="Arial" w:cs="Arial"/>
          <w:bCs/>
          <w:sz w:val="24"/>
          <w:szCs w:val="24"/>
        </w:rPr>
      </w:pPr>
      <w:r>
        <w:rPr>
          <w:rFonts w:ascii="Arial" w:hAnsi="Arial" w:cs="Arial"/>
          <w:bCs/>
          <w:sz w:val="24"/>
          <w:szCs w:val="24"/>
        </w:rPr>
        <w:t xml:space="preserve">Mongolia welcomes the establishment of a national committee and adoption of the national strategy to combat human trafficking and migrant smuggling. </w:t>
      </w:r>
    </w:p>
    <w:p w14:paraId="1CB45D0C" w14:textId="77777777" w:rsidR="00912062" w:rsidRDefault="00912062" w:rsidP="0046547A">
      <w:pPr>
        <w:pStyle w:val="SingleTxtG"/>
        <w:spacing w:after="0" w:line="240" w:lineRule="auto"/>
        <w:ind w:left="0"/>
        <w:rPr>
          <w:rFonts w:ascii="Arial" w:hAnsi="Arial" w:cs="Arial"/>
          <w:bCs/>
          <w:sz w:val="24"/>
          <w:szCs w:val="24"/>
        </w:rPr>
      </w:pPr>
    </w:p>
    <w:p w14:paraId="4E625F50" w14:textId="77777777" w:rsidR="00912062" w:rsidRDefault="00912062" w:rsidP="0046547A">
      <w:pPr>
        <w:pStyle w:val="SingleTxtG"/>
        <w:spacing w:after="0" w:line="240" w:lineRule="auto"/>
        <w:ind w:left="0" w:right="20"/>
        <w:rPr>
          <w:rFonts w:ascii="Arial" w:hAnsi="Arial" w:cs="Arial"/>
          <w:bCs/>
          <w:sz w:val="24"/>
          <w:szCs w:val="24"/>
        </w:rPr>
      </w:pPr>
      <w:r>
        <w:rPr>
          <w:rFonts w:ascii="Arial" w:hAnsi="Arial" w:cs="Arial"/>
          <w:bCs/>
          <w:sz w:val="24"/>
          <w:szCs w:val="24"/>
        </w:rPr>
        <w:t xml:space="preserve">As an advocate of human rights education, Mongolia commends Kuwait on its human rights training and educational programme targeting, inter alia, the judiciary, the Ministry of Interior and the Ministry of Foreign Affairs. </w:t>
      </w:r>
    </w:p>
    <w:p w14:paraId="2EEF649E" w14:textId="77777777" w:rsidR="00912062" w:rsidRDefault="00912062" w:rsidP="0046547A">
      <w:pPr>
        <w:pStyle w:val="Bullet1G"/>
        <w:numPr>
          <w:ilvl w:val="0"/>
          <w:numId w:val="0"/>
        </w:numPr>
        <w:tabs>
          <w:tab w:val="left" w:pos="720"/>
        </w:tabs>
        <w:spacing w:after="0" w:line="240" w:lineRule="auto"/>
        <w:ind w:left="180" w:hanging="170"/>
        <w:rPr>
          <w:rFonts w:ascii="Arial" w:hAnsi="Arial" w:cs="Arial"/>
          <w:bCs/>
          <w:sz w:val="24"/>
          <w:szCs w:val="24"/>
        </w:rPr>
      </w:pPr>
    </w:p>
    <w:p w14:paraId="30F3D219" w14:textId="1DD8C46D" w:rsidR="00912062" w:rsidRDefault="00912062" w:rsidP="0046547A">
      <w:pPr>
        <w:pStyle w:val="H23G"/>
        <w:spacing w:before="0" w:after="0" w:line="240" w:lineRule="auto"/>
        <w:ind w:left="0" w:right="20" w:firstLine="0"/>
        <w:jc w:val="both"/>
        <w:rPr>
          <w:rFonts w:ascii="Arial" w:hAnsi="Arial" w:cs="Arial"/>
          <w:b w:val="0"/>
          <w:bCs/>
          <w:sz w:val="24"/>
          <w:szCs w:val="24"/>
          <w:shd w:val="clear" w:color="auto" w:fill="FFFFFF"/>
        </w:rPr>
      </w:pPr>
      <w:r>
        <w:rPr>
          <w:rFonts w:ascii="Arial" w:hAnsi="Arial" w:cs="Arial"/>
          <w:b w:val="0"/>
          <w:bCs/>
          <w:sz w:val="24"/>
          <w:szCs w:val="24"/>
        </w:rPr>
        <w:t xml:space="preserve">Mongolia recommends that Kuwait continue enhancing protection of the right to freedom of expression. We also recommend that Kuwait consider acceding to the </w:t>
      </w:r>
      <w:r>
        <w:rPr>
          <w:rFonts w:ascii="Arial" w:hAnsi="Arial" w:cs="Arial"/>
          <w:b w:val="0"/>
          <w:bCs/>
          <w:sz w:val="24"/>
          <w:szCs w:val="24"/>
          <w:shd w:val="clear" w:color="auto" w:fill="FFFFFF"/>
        </w:rPr>
        <w:t>Second Optional Protocol to the International Covenant on Civil and Political Rights, aiming at the abolition</w:t>
      </w:r>
      <w:r>
        <w:rPr>
          <w:rFonts w:ascii="Arial" w:hAnsi="Arial" w:cs="Arial"/>
          <w:b w:val="0"/>
          <w:bCs/>
          <w:sz w:val="24"/>
          <w:szCs w:val="24"/>
        </w:rPr>
        <w:br/>
      </w:r>
      <w:r>
        <w:rPr>
          <w:rFonts w:ascii="Arial" w:hAnsi="Arial" w:cs="Arial"/>
          <w:b w:val="0"/>
          <w:bCs/>
          <w:sz w:val="24"/>
          <w:szCs w:val="24"/>
          <w:shd w:val="clear" w:color="auto" w:fill="FFFFFF"/>
        </w:rPr>
        <w:t>of the death penalty.</w:t>
      </w:r>
    </w:p>
    <w:p w14:paraId="14CFD49D" w14:textId="77777777" w:rsidR="00912062" w:rsidRDefault="00912062" w:rsidP="0046547A">
      <w:pPr>
        <w:spacing w:line="240" w:lineRule="auto"/>
      </w:pPr>
    </w:p>
    <w:p w14:paraId="041C421D" w14:textId="77777777" w:rsidR="00912062" w:rsidRDefault="00912062" w:rsidP="0046547A">
      <w:pPr>
        <w:spacing w:line="240" w:lineRule="auto"/>
        <w:rPr>
          <w:rFonts w:ascii="Arial" w:hAnsi="Arial" w:cs="Arial"/>
          <w:sz w:val="24"/>
          <w:szCs w:val="24"/>
        </w:rPr>
      </w:pPr>
      <w:r>
        <w:rPr>
          <w:rFonts w:ascii="Arial" w:hAnsi="Arial" w:cs="Arial"/>
          <w:sz w:val="24"/>
          <w:szCs w:val="24"/>
        </w:rPr>
        <w:t xml:space="preserve">Thank you, Madame President. </w:t>
      </w:r>
    </w:p>
    <w:p w14:paraId="4B20F30E" w14:textId="77777777" w:rsidR="00FD7679" w:rsidRDefault="00FD7679" w:rsidP="0046547A">
      <w:pPr>
        <w:spacing w:line="240" w:lineRule="auto"/>
      </w:pPr>
    </w:p>
    <w:sectPr w:rsidR="00FD7679" w:rsidSect="0046547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62"/>
    <w:rsid w:val="000B7351"/>
    <w:rsid w:val="0046547A"/>
    <w:rsid w:val="00912062"/>
    <w:rsid w:val="00FD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27B5"/>
  <w15:chartTrackingRefBased/>
  <w15:docId w15:val="{72C7D03E-592C-45CF-A9E2-BC832CBE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062"/>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912062"/>
    <w:pPr>
      <w:spacing w:after="120"/>
      <w:ind w:left="1134" w:right="1134"/>
      <w:jc w:val="both"/>
    </w:pPr>
  </w:style>
  <w:style w:type="paragraph" w:customStyle="1" w:styleId="H23G">
    <w:name w:val="_ H_2/3_G"/>
    <w:basedOn w:val="Normal"/>
    <w:next w:val="Normal"/>
    <w:qFormat/>
    <w:rsid w:val="00912062"/>
    <w:pPr>
      <w:keepNext/>
      <w:keepLines/>
      <w:tabs>
        <w:tab w:val="right" w:pos="851"/>
      </w:tabs>
      <w:spacing w:before="240" w:after="120" w:line="240" w:lineRule="exact"/>
      <w:ind w:left="1134" w:right="1134" w:hanging="1134"/>
    </w:pPr>
    <w:rPr>
      <w:b/>
    </w:rPr>
  </w:style>
  <w:style w:type="paragraph" w:customStyle="1" w:styleId="Bullet1G">
    <w:name w:val="_Bullet 1_G"/>
    <w:basedOn w:val="Normal"/>
    <w:qFormat/>
    <w:rsid w:val="00912062"/>
    <w:pPr>
      <w:numPr>
        <w:numId w:val="1"/>
      </w:numPr>
      <w:kinsoku w:val="0"/>
      <w:overflowPunct w:val="0"/>
      <w:autoSpaceDE w:val="0"/>
      <w:autoSpaceDN w:val="0"/>
      <w:adjustRightInd w:val="0"/>
      <w:snapToGrid w:val="0"/>
      <w:spacing w:after="120"/>
      <w:ind w:right="1134"/>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A6B08-BD3F-4742-8663-352CDC99F98B}"/>
</file>

<file path=customXml/itemProps2.xml><?xml version="1.0" encoding="utf-8"?>
<ds:datastoreItem xmlns:ds="http://schemas.openxmlformats.org/officeDocument/2006/customXml" ds:itemID="{DD188FDE-72BB-49E2-8CCB-8C9F191E0BAF}"/>
</file>

<file path=customXml/itemProps3.xml><?xml version="1.0" encoding="utf-8"?>
<ds:datastoreItem xmlns:ds="http://schemas.openxmlformats.org/officeDocument/2006/customXml" ds:itemID="{D7B8736B-D37F-4734-90D9-4E2E93F9D44B}"/>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Rinchyenmyadag Shagdar</dc:creator>
  <cp:keywords/>
  <dc:description/>
  <cp:lastModifiedBy>Rinchyenmyadag Shagdar</cp:lastModifiedBy>
  <cp:revision>2</cp:revision>
  <dcterms:created xsi:type="dcterms:W3CDTF">2020-01-29T15:40:00Z</dcterms:created>
  <dcterms:modified xsi:type="dcterms:W3CDTF">2020-01-29T15:40:00Z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