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BB" w:rsidRDefault="001852BB"/>
    <w:tbl>
      <w:tblPr>
        <w:tblW w:w="10691" w:type="dxa"/>
        <w:jc w:val="center"/>
        <w:tblInd w:w="-34" w:type="dxa"/>
        <w:tblLayout w:type="fixed"/>
        <w:tblLook w:val="0000"/>
      </w:tblPr>
      <w:tblGrid>
        <w:gridCol w:w="4443"/>
        <w:gridCol w:w="1527"/>
        <w:gridCol w:w="4721"/>
      </w:tblGrid>
      <w:tr w:rsidR="0067625A" w:rsidRPr="0082773E" w:rsidTr="003E6AF0">
        <w:trPr>
          <w:cantSplit/>
          <w:trHeight w:val="1260"/>
          <w:tblHeader/>
          <w:jc w:val="center"/>
        </w:trPr>
        <w:tc>
          <w:tcPr>
            <w:tcW w:w="4443" w:type="dxa"/>
          </w:tcPr>
          <w:p w:rsidR="0067625A" w:rsidRPr="003D00B8" w:rsidRDefault="0067625A" w:rsidP="003E6AF0">
            <w:pPr>
              <w:pStyle w:val="Titre"/>
              <w:tabs>
                <w:tab w:val="right" w:pos="3686"/>
              </w:tabs>
              <w:ind w:left="-142" w:right="-108"/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</w:pPr>
            <w:r w:rsidRPr="00E04300"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  <w:t xml:space="preserve">    </w:t>
            </w:r>
            <w:r w:rsidRPr="003D00B8"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  <w:t xml:space="preserve">Mission Permanente </w:t>
            </w:r>
          </w:p>
          <w:p w:rsidR="0067625A" w:rsidRPr="003D00B8" w:rsidRDefault="0067625A" w:rsidP="003E6AF0">
            <w:pPr>
              <w:pStyle w:val="Titre"/>
              <w:tabs>
                <w:tab w:val="right" w:pos="3686"/>
              </w:tabs>
              <w:ind w:left="-142" w:right="-108"/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</w:pPr>
            <w:r w:rsidRPr="003D00B8"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  <w:t>du Royaume du Maroc</w:t>
            </w:r>
          </w:p>
          <w:p w:rsidR="0067625A" w:rsidRDefault="0067625A" w:rsidP="003E6AF0">
            <w:pPr>
              <w:pStyle w:val="Titre"/>
              <w:tabs>
                <w:tab w:val="right" w:pos="3686"/>
              </w:tabs>
              <w:ind w:right="-108"/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</w:pPr>
            <w:r w:rsidRPr="003D00B8"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  <w:t>Genève</w:t>
            </w:r>
          </w:p>
          <w:p w:rsidR="0067625A" w:rsidRPr="00E04300" w:rsidRDefault="0067625A" w:rsidP="003E6AF0">
            <w:pPr>
              <w:pStyle w:val="Titre"/>
              <w:tabs>
                <w:tab w:val="right" w:pos="3686"/>
              </w:tabs>
              <w:ind w:right="-108"/>
              <w:rPr>
                <w:rFonts w:ascii="Monotype Corsiva" w:hAnsi="Monotype Corsiva" w:cs="Times New Roman"/>
                <w:iCs/>
                <w:color w:val="000000"/>
                <w:sz w:val="30"/>
                <w:szCs w:val="30"/>
                <w:lang w:val="fr-FR"/>
              </w:rPr>
            </w:pPr>
          </w:p>
        </w:tc>
        <w:tc>
          <w:tcPr>
            <w:tcW w:w="1527" w:type="dxa"/>
          </w:tcPr>
          <w:p w:rsidR="0067625A" w:rsidRDefault="00464FD0" w:rsidP="003E6AF0">
            <w:pPr>
              <w:pStyle w:val="Titre"/>
              <w:tabs>
                <w:tab w:val="right" w:pos="3686"/>
              </w:tabs>
              <w:ind w:left="33" w:hanging="33"/>
              <w:jc w:val="left"/>
              <w:rPr>
                <w:rFonts w:ascii="Algerian" w:hAnsi="Algerian"/>
                <w:b w:val="0"/>
                <w:bCs w:val="0"/>
                <w:i/>
                <w:color w:val="808000"/>
                <w:sz w:val="22"/>
              </w:rPr>
            </w:pPr>
            <w:r>
              <w:rPr>
                <w:rFonts w:ascii="Algerian" w:hAnsi="Algerian"/>
                <w:b w:val="0"/>
                <w:i/>
                <w:noProof/>
                <w:color w:val="808000"/>
                <w:sz w:val="22"/>
                <w:lang w:val="fr-FR"/>
              </w:rPr>
              <w:drawing>
                <wp:inline distT="0" distB="0" distL="0" distR="0">
                  <wp:extent cx="671830" cy="683260"/>
                  <wp:effectExtent l="19050" t="0" r="0" b="0"/>
                  <wp:docPr id="1" name="Imagen 1" descr="Armoir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rmoir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</w:tcPr>
          <w:p w:rsidR="0067625A" w:rsidRDefault="0067625A" w:rsidP="003E6AF0">
            <w:pPr>
              <w:pStyle w:val="Titre"/>
              <w:tabs>
                <w:tab w:val="right" w:pos="3686"/>
              </w:tabs>
              <w:rPr>
                <w:rFonts w:ascii="Algerian" w:hAnsi="Algerian"/>
                <w:b w:val="0"/>
                <w:bCs w:val="0"/>
                <w:i/>
                <w:color w:val="808000"/>
                <w:sz w:val="20"/>
              </w:rPr>
            </w:pPr>
            <w:r>
              <w:object w:dxaOrig="3961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35pt;height:43.35pt" o:ole="" fillcolor="window">
                  <v:imagedata r:id="rId10" o:title=""/>
                </v:shape>
                <o:OLEObject Type="Embed" ProgID="Word.Picture.8" ShapeID="_x0000_i1025" DrawAspect="Content" ObjectID="_1636371174" r:id="rId11"/>
              </w:object>
            </w:r>
          </w:p>
          <w:p w:rsidR="0067625A" w:rsidRPr="0082773E" w:rsidRDefault="0067625A" w:rsidP="003E6AF0">
            <w:pPr>
              <w:jc w:val="center"/>
            </w:pPr>
            <w:r w:rsidRPr="00DB4E93">
              <w:rPr>
                <w:sz w:val="24"/>
                <w:szCs w:val="24"/>
              </w:rPr>
              <w:object w:dxaOrig="1066" w:dyaOrig="466">
                <v:shape id="_x0000_i1026" type="#_x0000_t75" style="width:58.1pt;height:21.7pt" o:ole="" fillcolor="window">
                  <v:imagedata r:id="rId12" o:title=""/>
                </v:shape>
                <o:OLEObject Type="Embed" ProgID="Word.Picture.8" ShapeID="_x0000_i1026" DrawAspect="Content" ObjectID="_1636371175" r:id="rId13"/>
              </w:object>
            </w:r>
          </w:p>
        </w:tc>
      </w:tr>
    </w:tbl>
    <w:p w:rsidR="00E14575" w:rsidRDefault="00E14575" w:rsidP="00E14575">
      <w:pPr>
        <w:jc w:val="right"/>
        <w:rPr>
          <w:b/>
          <w:bCs/>
          <w:sz w:val="27"/>
          <w:szCs w:val="27"/>
          <w:u w:val="single"/>
          <w:lang w:val="fr-CH"/>
        </w:rPr>
      </w:pPr>
      <w:r w:rsidRPr="00E14575">
        <w:rPr>
          <w:b/>
          <w:bCs/>
          <w:sz w:val="27"/>
          <w:szCs w:val="27"/>
          <w:u w:val="single"/>
          <w:lang w:val="fr-CH"/>
        </w:rPr>
        <w:t>Vérifier au prononcé</w:t>
      </w:r>
    </w:p>
    <w:p w:rsidR="001852BB" w:rsidRDefault="001852BB" w:rsidP="001852BB">
      <w:pPr>
        <w:jc w:val="right"/>
        <w:rPr>
          <w:b/>
          <w:bCs/>
          <w:sz w:val="27"/>
          <w:szCs w:val="27"/>
          <w:u w:val="single"/>
          <w:lang w:val="fr-CH"/>
        </w:rPr>
      </w:pPr>
      <w:r>
        <w:rPr>
          <w:b/>
          <w:bCs/>
          <w:sz w:val="27"/>
          <w:szCs w:val="27"/>
          <w:u w:val="single"/>
          <w:lang w:val="fr-CH"/>
        </w:rPr>
        <w:t>1min15</w:t>
      </w:r>
    </w:p>
    <w:p w:rsidR="00E14575" w:rsidRPr="00E14575" w:rsidRDefault="00E14575" w:rsidP="00E14575">
      <w:pPr>
        <w:jc w:val="center"/>
        <w:rPr>
          <w:rFonts w:ascii="Garamond" w:hAnsi="Garamond" w:cs="Courier New"/>
          <w:b/>
          <w:bCs/>
          <w:sz w:val="36"/>
          <w:szCs w:val="36"/>
          <w:lang w:val="fr-CH"/>
        </w:rPr>
      </w:pPr>
    </w:p>
    <w:p w:rsidR="00E14575" w:rsidRPr="00E14575" w:rsidRDefault="00E14575" w:rsidP="002144A1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</w:pPr>
      <w:r w:rsidRPr="00E14575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الدورة ال</w:t>
      </w:r>
      <w:r w:rsidR="00A944BE">
        <w:rPr>
          <w:rFonts w:ascii="Simplified Arabic" w:hAnsi="Simplified Arabic" w:cs="Simplified Arabic" w:hint="cs"/>
          <w:b/>
          <w:bCs/>
          <w:sz w:val="34"/>
          <w:szCs w:val="34"/>
          <w:rtl/>
          <w:lang w:bidi="ar-MA"/>
        </w:rPr>
        <w:t>رابعة</w:t>
      </w:r>
      <w:r w:rsidRPr="00E14575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 xml:space="preserve"> والثلاثون</w:t>
      </w:r>
    </w:p>
    <w:p w:rsidR="00E14575" w:rsidRPr="00E14575" w:rsidRDefault="00E14575" w:rsidP="00E14575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</w:pPr>
      <w:r w:rsidRPr="00E14575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لمجموعة العمل المختصة بالاستعراض الدوري الشامل</w:t>
      </w:r>
    </w:p>
    <w:p w:rsidR="00E14575" w:rsidRPr="00E14575" w:rsidRDefault="00E14575" w:rsidP="00E14575">
      <w:pPr>
        <w:jc w:val="center"/>
        <w:rPr>
          <w:b/>
          <w:bCs/>
          <w:sz w:val="27"/>
          <w:szCs w:val="27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14575" w:rsidRPr="00AD7696" w:rsidTr="003E6AF0">
        <w:tc>
          <w:tcPr>
            <w:tcW w:w="9212" w:type="dxa"/>
          </w:tcPr>
          <w:p w:rsidR="00E14575" w:rsidRPr="00A944BE" w:rsidRDefault="00E14575" w:rsidP="00A944BE">
            <w:pPr>
              <w:bidi/>
              <w:spacing w:after="0"/>
              <w:jc w:val="center"/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EG"/>
              </w:rPr>
            </w:pPr>
            <w:r w:rsidRPr="00A944BE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EG"/>
              </w:rPr>
              <w:t>بيان وفد المملكة المغربية</w:t>
            </w:r>
          </w:p>
          <w:p w:rsidR="00E731A9" w:rsidRDefault="00E14575" w:rsidP="00E731A9">
            <w:pPr>
              <w:bidi/>
              <w:spacing w:after="0"/>
              <w:jc w:val="center"/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MA"/>
              </w:rPr>
            </w:pPr>
            <w:r w:rsidRPr="00A944BE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EG"/>
              </w:rPr>
              <w:t>في جلسة الاستعراض</w:t>
            </w:r>
            <w:r w:rsidR="00E731A9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EG"/>
              </w:rPr>
              <w:t xml:space="preserve"> الدوري الشامل</w:t>
            </w:r>
          </w:p>
          <w:p w:rsidR="00E14575" w:rsidRPr="00E731A9" w:rsidRDefault="00A944BE" w:rsidP="00E731A9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MA"/>
              </w:rPr>
            </w:pPr>
            <w:r w:rsidRPr="00A944BE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  <w:lang w:bidi="ar-MA"/>
              </w:rPr>
              <w:t>لجمهورية مصر الشقيقة</w:t>
            </w:r>
          </w:p>
        </w:tc>
      </w:tr>
    </w:tbl>
    <w:p w:rsidR="00E14575" w:rsidRDefault="00E14575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E14575" w:rsidRDefault="00E14575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E14575" w:rsidRDefault="00E14575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A944BE" w:rsidRDefault="00A944BE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A944BE" w:rsidRDefault="00A944BE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A944BE" w:rsidRDefault="00A944BE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A944BE" w:rsidRDefault="00A944BE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A944BE" w:rsidRDefault="00A944BE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E14575" w:rsidRDefault="00E14575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E14575" w:rsidRDefault="00E14575" w:rsidP="00E14575">
      <w:pPr>
        <w:jc w:val="center"/>
        <w:rPr>
          <w:rFonts w:hint="cs"/>
          <w:b/>
          <w:bCs/>
          <w:sz w:val="27"/>
          <w:szCs w:val="27"/>
          <w:u w:val="single"/>
          <w:rtl/>
        </w:rPr>
      </w:pPr>
    </w:p>
    <w:p w:rsidR="00E14575" w:rsidRDefault="00E14575" w:rsidP="00E14575">
      <w:pPr>
        <w:jc w:val="center"/>
        <w:rPr>
          <w:rFonts w:ascii="Monotype Corsiva" w:hAnsi="Monotype Corsiva"/>
          <w:b/>
          <w:bCs/>
          <w:iCs/>
          <w:color w:val="000000"/>
          <w:sz w:val="36"/>
          <w:szCs w:val="36"/>
        </w:rPr>
      </w:pPr>
    </w:p>
    <w:p w:rsidR="004F2559" w:rsidRDefault="00E14575" w:rsidP="00A21AEB">
      <w:pPr>
        <w:bidi/>
        <w:jc w:val="center"/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EG"/>
        </w:rPr>
      </w:pPr>
      <w:r w:rsidRPr="00E14575">
        <w:rPr>
          <w:rFonts w:ascii="Monotype Corsiva" w:hAnsi="Monotype Corsiva" w:hint="cs"/>
          <w:b/>
          <w:bCs/>
          <w:iCs/>
          <w:color w:val="000000"/>
          <w:sz w:val="36"/>
          <w:szCs w:val="36"/>
          <w:u w:val="single"/>
          <w:rtl/>
        </w:rPr>
        <w:t>جنيف</w:t>
      </w:r>
      <w:r w:rsidR="00A21AEB">
        <w:rPr>
          <w:rFonts w:ascii="Monotype Corsiva" w:hAnsi="Monotype Corsiva"/>
          <w:b/>
          <w:bCs/>
          <w:iCs/>
          <w:color w:val="000000"/>
          <w:sz w:val="36"/>
          <w:szCs w:val="36"/>
          <w:u w:val="single"/>
        </w:rPr>
        <w:t xml:space="preserve">13 </w:t>
      </w:r>
      <w:r w:rsidR="0066170C">
        <w:rPr>
          <w:rFonts w:ascii="Monotype Corsiva" w:hAnsi="Monotype Corsiva" w:hint="cs"/>
          <w:b/>
          <w:bCs/>
          <w:iCs/>
          <w:color w:val="000000"/>
          <w:sz w:val="36"/>
          <w:szCs w:val="36"/>
          <w:u w:val="single"/>
          <w:rtl/>
        </w:rPr>
        <w:t xml:space="preserve"> نونبر </w:t>
      </w:r>
      <w:r w:rsidR="002144A1">
        <w:rPr>
          <w:rFonts w:ascii="Monotype Corsiva" w:hAnsi="Monotype Corsiva" w:hint="cs"/>
          <w:b/>
          <w:bCs/>
          <w:iCs/>
          <w:color w:val="000000"/>
          <w:sz w:val="36"/>
          <w:szCs w:val="36"/>
          <w:u w:val="single"/>
          <w:rtl/>
        </w:rPr>
        <w:t xml:space="preserve"> 2019</w:t>
      </w:r>
    </w:p>
    <w:p w:rsidR="00E14575" w:rsidRPr="00E14575" w:rsidRDefault="00E14575" w:rsidP="00E14575">
      <w:pPr>
        <w:bidi/>
        <w:jc w:val="center"/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EG"/>
        </w:rPr>
      </w:pPr>
    </w:p>
    <w:p w:rsidR="004E6E00" w:rsidRPr="004E6E00" w:rsidRDefault="000D7982" w:rsidP="0066170C">
      <w:pPr>
        <w:bidi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 w:rsidRPr="004E6E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</w:t>
      </w:r>
      <w:r w:rsidR="00B300B8" w:rsidRPr="004E6E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سيد الرئيس،</w:t>
      </w:r>
    </w:p>
    <w:p w:rsidR="00C9026C" w:rsidRPr="00C9026C" w:rsidRDefault="00873A10" w:rsidP="004E6E00">
      <w:pPr>
        <w:bidi/>
        <w:spacing w:after="0"/>
        <w:ind w:left="26" w:right="-360"/>
        <w:jc w:val="both"/>
        <w:rPr>
          <w:rFonts w:ascii="Simplified Arabic" w:hAnsi="Simplified Arabic" w:cs="Simplified Arabic"/>
          <w:b/>
          <w:bCs/>
          <w:spacing w:val="-4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ab/>
      </w:r>
      <w:r w:rsidR="00B300B8" w:rsidRPr="009F397E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يطيب لوفد </w:t>
      </w:r>
      <w:r w:rsidR="001E2CB2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MA"/>
        </w:rPr>
        <w:t xml:space="preserve">المغرب </w:t>
      </w:r>
      <w:r w:rsidR="007C5D2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أن يرحب ب</w:t>
      </w:r>
      <w:r w:rsidR="00B300B8" w:rsidRPr="009F397E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وفد </w:t>
      </w:r>
      <w:r w:rsidR="00A944BE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جمهورية مصر</w:t>
      </w:r>
      <w:r w:rsidR="002144A1" w:rsidRPr="009F397E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</w:t>
      </w:r>
      <w:r w:rsidR="00B300B8" w:rsidRPr="009F397E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الشقيقة </w:t>
      </w:r>
      <w:r w:rsidR="004E6E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ويشكره </w:t>
      </w:r>
      <w:r w:rsidR="007C5D2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على </w:t>
      </w:r>
      <w:r w:rsidR="00E731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عرض تقريره الوطني </w:t>
      </w:r>
      <w:r w:rsidR="00E731A9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ويتمنى له كل التوفيق خلال الجلسة.</w:t>
      </w:r>
    </w:p>
    <w:p w:rsidR="006C79F9" w:rsidRDefault="00873A10" w:rsidP="00D14AD0">
      <w:pPr>
        <w:bidi/>
        <w:spacing w:after="0"/>
        <w:ind w:left="26" w:right="-360"/>
        <w:jc w:val="both"/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ab/>
      </w:r>
      <w:r w:rsidR="001337AB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لقد اطلع وفد بلدي على الت</w:t>
      </w:r>
      <w:r w:rsidR="00AB182B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قا</w:t>
      </w:r>
      <w:r w:rsidR="00AB182B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MA"/>
        </w:rPr>
        <w:t>ر</w:t>
      </w:r>
      <w:r w:rsidR="00966844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ير المقدم</w:t>
      </w:r>
      <w:r w:rsidR="00AB182B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ة</w:t>
      </w:r>
      <w:r w:rsidR="00966844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</w:t>
      </w:r>
      <w:r w:rsidR="001337AB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إلى</w:t>
      </w:r>
      <w:r w:rsidR="00C9026C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مجموعة العمل، و</w:t>
      </w:r>
      <w:r w:rsidR="006C79F9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التي </w:t>
      </w:r>
      <w:r w:rsidR="00D14AD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استعرضت</w:t>
      </w:r>
      <w:r w:rsidR="006C79F9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الجهود التي قامت بها جمهورية مصر لتعزيز وحماية حقوق الإنسان بالبلاد، ومن ضمنها الخطة الحكومية </w:t>
      </w:r>
      <w:r w:rsidR="0020185F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لإنشاء وتطوير و توسعة السجون ، إستراتيجية التنمية المستدامة 2030، البرامج الحكومية الرامية لتحقيق العدالة الاجتماعية و التكافل الاجتماعي، و قانون التأمين الصحي الشامل. </w:t>
      </w:r>
    </w:p>
    <w:p w:rsidR="006C79F9" w:rsidRDefault="0020185F" w:rsidP="00D14AD0">
      <w:pPr>
        <w:bidi/>
        <w:spacing w:after="0"/>
        <w:ind w:left="26" w:right="-360"/>
        <w:jc w:val="both"/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ab/>
      </w:r>
      <w:r w:rsidR="006C79F9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كما </w:t>
      </w:r>
      <w:r w:rsidR="00D14AD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يسجل </w:t>
      </w:r>
      <w:r w:rsidR="006C79F9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قبولها 244 توصية كليا و 23 جزئيا من أصل 300 المقدمة </w:t>
      </w:r>
      <w:r w:rsidR="00D546EC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خلال عرض تقريرها السابق، </w:t>
      </w:r>
      <w:r w:rsidR="00D546EC" w:rsidRPr="00D546EC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="00D546EC" w:rsidRPr="00D546EC">
        <w:rPr>
          <w:rFonts w:ascii="Simplified Arabic" w:hAnsi="Simplified Arabic" w:cs="Simplified Arabic"/>
          <w:b/>
          <w:bCs/>
          <w:spacing w:val="-4"/>
          <w:sz w:val="30"/>
          <w:szCs w:val="30"/>
          <w:rtl/>
          <w:lang w:bidi="ar-EG"/>
        </w:rPr>
        <w:t xml:space="preserve">مما يؤكد على القدر البالغ من العناية التي أولتها الدولة لهذه </w:t>
      </w:r>
      <w:r w:rsidR="00D546EC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ال</w:t>
      </w:r>
      <w:r w:rsidR="00D546EC" w:rsidRPr="00D546EC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آلية</w:t>
      </w:r>
      <w:r w:rsidR="00D546EC" w:rsidRPr="00D546EC">
        <w:rPr>
          <w:rFonts w:ascii="Simplified Arabic" w:hAnsi="Simplified Arabic" w:cs="Simplified Arabic"/>
          <w:b/>
          <w:bCs/>
          <w:spacing w:val="-4"/>
          <w:sz w:val="30"/>
          <w:szCs w:val="30"/>
          <w:rtl/>
          <w:lang w:bidi="ar-EG"/>
        </w:rPr>
        <w:t xml:space="preserve"> الهامة</w:t>
      </w:r>
      <w:r w:rsidR="00D546EC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.</w:t>
      </w:r>
    </w:p>
    <w:p w:rsidR="0020185F" w:rsidRDefault="00873A10" w:rsidP="00D14AD0">
      <w:pPr>
        <w:bidi/>
        <w:spacing w:after="0"/>
        <w:ind w:left="26" w:right="-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ab/>
      </w:r>
      <w:r w:rsidR="004E6E0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و </w:t>
      </w:r>
      <w:r w:rsidR="00D14AD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يسجل </w:t>
      </w:r>
      <w:r w:rsidR="001758B8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وفد </w:t>
      </w:r>
      <w:r w:rsidR="007C5D2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بل</w:t>
      </w:r>
      <w:r w:rsidR="00D14A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</w:t>
      </w:r>
      <w:r w:rsidR="007C5D2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دي </w:t>
      </w:r>
      <w:r w:rsidR="00D14A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بارتياح</w:t>
      </w:r>
      <w:r w:rsidR="007C5D2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الإجراءات المتخذة</w:t>
      </w:r>
      <w:r w:rsidR="00201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لتمكين المرأة، </w:t>
      </w:r>
      <w:r w:rsidR="004E6E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بما فيها تلك الرامية إلى تحسين صحتها، والتصدي للممارسات التمييزية ضد المرأة وكذا تشجيعها على الاستثمار.</w:t>
      </w:r>
    </w:p>
    <w:p w:rsidR="00C9026C" w:rsidRPr="0020185F" w:rsidRDefault="004E6E00" w:rsidP="004E6E00">
      <w:pPr>
        <w:bidi/>
        <w:spacing w:after="0"/>
        <w:ind w:left="26" w:right="-360"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C902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ونود في هذا السياق التقدم</w:t>
      </w:r>
      <w:r w:rsidR="00C9026C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بالتوصيات التالية </w:t>
      </w:r>
      <w:r w:rsidR="00C9026C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لجمهورية </w:t>
      </w:r>
      <w:r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مصر</w:t>
      </w:r>
      <w:r w:rsidR="00C9026C" w:rsidRPr="009F397E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الشقيقة</w:t>
      </w:r>
      <w:r w:rsidR="00C9026C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للنظر فيها في إطار مساعيها لتطوير أوضاع حقوق الإنسان في البلاد:</w:t>
      </w:r>
    </w:p>
    <w:p w:rsidR="00C9026C" w:rsidRPr="004E6E00" w:rsidRDefault="00D14AD0" w:rsidP="0066170C">
      <w:pPr>
        <w:pStyle w:val="PrformatHTML"/>
        <w:numPr>
          <w:ilvl w:val="0"/>
          <w:numId w:val="1"/>
        </w:numPr>
        <w:bidi/>
        <w:spacing w:line="276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lang w:val="en-SG" w:eastAsia="en-US" w:bidi="ar-EG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val="en-SG" w:eastAsia="en-US" w:bidi="ar-EG"/>
        </w:rPr>
        <w:t>تشجيع ولوج أفضل للمرأة لسوق الشغل</w:t>
      </w:r>
      <w:r w:rsidR="004E6E00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val="en-SG" w:eastAsia="en-US" w:bidi="ar-EG"/>
        </w:rPr>
        <w:t>،</w:t>
      </w:r>
    </w:p>
    <w:p w:rsidR="00CE0157" w:rsidRPr="004E6E00" w:rsidRDefault="00D14AD0" w:rsidP="00D14AD0">
      <w:pPr>
        <w:pStyle w:val="PrformatHTML"/>
        <w:numPr>
          <w:ilvl w:val="0"/>
          <w:numId w:val="1"/>
        </w:numPr>
        <w:bidi/>
        <w:spacing w:line="276" w:lineRule="auto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val="en-SG" w:eastAsia="en-US" w:bidi="ar-EG"/>
        </w:rPr>
        <w:t>تقوية</w:t>
      </w:r>
      <w:r w:rsidR="004E6E00" w:rsidRPr="004E6E00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val="en-SG" w:eastAsia="en-US" w:bidi="ar-EG"/>
        </w:rPr>
        <w:t xml:space="preserve"> برنامج التعاون التقني مع المفوضي</w:t>
      </w:r>
      <w:r w:rsidR="004E6E00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val="en-SG" w:eastAsia="en-US" w:bidi="ar-MA"/>
        </w:rPr>
        <w:t>ة السامية لحقوق الإنسان.</w:t>
      </w:r>
    </w:p>
    <w:p w:rsidR="00C9026C" w:rsidRDefault="00873A10" w:rsidP="004E6E00">
      <w:pPr>
        <w:bidi/>
        <w:spacing w:after="0"/>
        <w:ind w:left="26" w:right="-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 w:rsidRPr="00CE0157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ab/>
        <w:t xml:space="preserve">في الختام، يتمنى وفدنا لشعب وحكومة </w:t>
      </w:r>
      <w:r w:rsidR="004E6E0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مصر</w:t>
      </w:r>
      <w:r w:rsidRPr="00CE0157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الشقيق</w:t>
      </w:r>
      <w:r w:rsidR="004E6E00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>ة</w:t>
      </w:r>
      <w:r w:rsidRPr="00CE0157">
        <w:rPr>
          <w:rFonts w:ascii="Simplified Arabic" w:hAnsi="Simplified Arabic" w:cs="Simplified Arabic" w:hint="cs"/>
          <w:b/>
          <w:bCs/>
          <w:spacing w:val="-4"/>
          <w:sz w:val="30"/>
          <w:szCs w:val="30"/>
          <w:rtl/>
          <w:lang w:bidi="ar-EG"/>
        </w:rPr>
        <w:t xml:space="preserve"> </w:t>
      </w:r>
      <w:r w:rsidRPr="00CE01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النجاح في مسيرة تعزيز وحماية حقوق الإنسان</w:t>
      </w:r>
      <w:r w:rsidR="004E6E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4E6E00" w:rsidRPr="00CE0157" w:rsidRDefault="004E6E00" w:rsidP="004E6E00">
      <w:pPr>
        <w:bidi/>
        <w:spacing w:after="0"/>
        <w:ind w:left="26" w:right="-360"/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C9026C" w:rsidRPr="001852BB" w:rsidRDefault="00C9026C" w:rsidP="004E6E00">
      <w:pPr>
        <w:bidi/>
        <w:spacing w:after="0"/>
        <w:ind w:right="-360"/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  <w:r w:rsidRPr="004E6E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شكرًا سيدي الرئيس.</w:t>
      </w:r>
    </w:p>
    <w:p w:rsidR="002C0700" w:rsidRPr="00873A10" w:rsidRDefault="002C0700" w:rsidP="002C0700">
      <w:pPr>
        <w:bidi/>
        <w:ind w:left="26" w:right="-360"/>
        <w:jc w:val="both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</w:p>
    <w:sectPr w:rsidR="002C0700" w:rsidRPr="00873A10" w:rsidSect="001852BB">
      <w:pgSz w:w="11906" w:h="16838"/>
      <w:pgMar w:top="851" w:right="1440" w:bottom="899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F3D"/>
    <w:multiLevelType w:val="hybridMultilevel"/>
    <w:tmpl w:val="96D88C16"/>
    <w:lvl w:ilvl="0" w:tplc="C4209A5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Simplified Arabic" w:hAnsi="Simplified Arabic" w:cs="Simplified Arabic" w:hint="default"/>
        <w:b/>
        <w:bCs/>
        <w:sz w:val="3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characterSpacingControl w:val="doNotCompress"/>
  <w:compat/>
  <w:rsids>
    <w:rsidRoot w:val="00B300B8"/>
    <w:rsid w:val="00026FF7"/>
    <w:rsid w:val="00065296"/>
    <w:rsid w:val="00080DFE"/>
    <w:rsid w:val="000830AF"/>
    <w:rsid w:val="000C4F27"/>
    <w:rsid w:val="000C7609"/>
    <w:rsid w:val="000D7982"/>
    <w:rsid w:val="000F2909"/>
    <w:rsid w:val="000F2B9B"/>
    <w:rsid w:val="001064A6"/>
    <w:rsid w:val="001176CD"/>
    <w:rsid w:val="00132AD7"/>
    <w:rsid w:val="001337AB"/>
    <w:rsid w:val="00157928"/>
    <w:rsid w:val="001646AF"/>
    <w:rsid w:val="00175875"/>
    <w:rsid w:val="001758B8"/>
    <w:rsid w:val="001852BB"/>
    <w:rsid w:val="001B1799"/>
    <w:rsid w:val="001E2CB2"/>
    <w:rsid w:val="0020185F"/>
    <w:rsid w:val="002144A1"/>
    <w:rsid w:val="00235B98"/>
    <w:rsid w:val="0025165B"/>
    <w:rsid w:val="00252C1A"/>
    <w:rsid w:val="00264D2D"/>
    <w:rsid w:val="00287AD4"/>
    <w:rsid w:val="002958F7"/>
    <w:rsid w:val="002C0700"/>
    <w:rsid w:val="00303DF4"/>
    <w:rsid w:val="00335806"/>
    <w:rsid w:val="00336572"/>
    <w:rsid w:val="003B6B9B"/>
    <w:rsid w:val="003C3D2B"/>
    <w:rsid w:val="003C5AF6"/>
    <w:rsid w:val="003E6AF0"/>
    <w:rsid w:val="003E7A0C"/>
    <w:rsid w:val="003F2E0E"/>
    <w:rsid w:val="00443523"/>
    <w:rsid w:val="0046357C"/>
    <w:rsid w:val="00464FD0"/>
    <w:rsid w:val="004658AE"/>
    <w:rsid w:val="0048263C"/>
    <w:rsid w:val="004D7472"/>
    <w:rsid w:val="004E6E00"/>
    <w:rsid w:val="004F2559"/>
    <w:rsid w:val="00503960"/>
    <w:rsid w:val="0055183C"/>
    <w:rsid w:val="005722B2"/>
    <w:rsid w:val="005C0EB9"/>
    <w:rsid w:val="005D7382"/>
    <w:rsid w:val="005E0A23"/>
    <w:rsid w:val="006269F4"/>
    <w:rsid w:val="00643435"/>
    <w:rsid w:val="00646EEF"/>
    <w:rsid w:val="0066170C"/>
    <w:rsid w:val="0067625A"/>
    <w:rsid w:val="006C527D"/>
    <w:rsid w:val="006C79F9"/>
    <w:rsid w:val="00701888"/>
    <w:rsid w:val="00732E92"/>
    <w:rsid w:val="00733967"/>
    <w:rsid w:val="00791AAC"/>
    <w:rsid w:val="007B616A"/>
    <w:rsid w:val="007C5D20"/>
    <w:rsid w:val="007E6D58"/>
    <w:rsid w:val="007F743A"/>
    <w:rsid w:val="00811E4D"/>
    <w:rsid w:val="00873A10"/>
    <w:rsid w:val="00890C1E"/>
    <w:rsid w:val="00891120"/>
    <w:rsid w:val="008B471F"/>
    <w:rsid w:val="008E02AE"/>
    <w:rsid w:val="009242AC"/>
    <w:rsid w:val="009441D0"/>
    <w:rsid w:val="00966844"/>
    <w:rsid w:val="0097554E"/>
    <w:rsid w:val="00983896"/>
    <w:rsid w:val="009B6BF5"/>
    <w:rsid w:val="009C180B"/>
    <w:rsid w:val="009D2751"/>
    <w:rsid w:val="009D3C9B"/>
    <w:rsid w:val="009F397E"/>
    <w:rsid w:val="009F7EE8"/>
    <w:rsid w:val="00A20472"/>
    <w:rsid w:val="00A21AEB"/>
    <w:rsid w:val="00A46720"/>
    <w:rsid w:val="00A944BE"/>
    <w:rsid w:val="00AA7C9E"/>
    <w:rsid w:val="00AB182B"/>
    <w:rsid w:val="00AD5BD7"/>
    <w:rsid w:val="00AE0217"/>
    <w:rsid w:val="00AE4BD7"/>
    <w:rsid w:val="00B055CA"/>
    <w:rsid w:val="00B300B8"/>
    <w:rsid w:val="00B3244E"/>
    <w:rsid w:val="00B732B0"/>
    <w:rsid w:val="00BA300A"/>
    <w:rsid w:val="00BF6E38"/>
    <w:rsid w:val="00C31D73"/>
    <w:rsid w:val="00C9026C"/>
    <w:rsid w:val="00CD4A25"/>
    <w:rsid w:val="00CE0157"/>
    <w:rsid w:val="00CF7263"/>
    <w:rsid w:val="00D14AD0"/>
    <w:rsid w:val="00D33F25"/>
    <w:rsid w:val="00D36630"/>
    <w:rsid w:val="00D546EC"/>
    <w:rsid w:val="00D55C19"/>
    <w:rsid w:val="00D663D6"/>
    <w:rsid w:val="00D9244D"/>
    <w:rsid w:val="00DC7BF6"/>
    <w:rsid w:val="00DD50AB"/>
    <w:rsid w:val="00E14575"/>
    <w:rsid w:val="00E64A0D"/>
    <w:rsid w:val="00E66A4D"/>
    <w:rsid w:val="00E731A9"/>
    <w:rsid w:val="00E835FE"/>
    <w:rsid w:val="00EA0D8D"/>
    <w:rsid w:val="00EA2755"/>
    <w:rsid w:val="00F22A5A"/>
    <w:rsid w:val="00F270B7"/>
    <w:rsid w:val="00F8542F"/>
    <w:rsid w:val="00FA2BD1"/>
    <w:rsid w:val="00F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B8"/>
    <w:pPr>
      <w:spacing w:after="200" w:line="276" w:lineRule="auto"/>
    </w:pPr>
    <w:rPr>
      <w:rFonts w:ascii="Calibri" w:eastAsia="Calibri" w:hAnsi="Calibri" w:cs="Arial"/>
      <w:sz w:val="22"/>
      <w:szCs w:val="22"/>
      <w:lang w:val="en-SG" w:eastAsia="en-US"/>
    </w:rPr>
  </w:style>
  <w:style w:type="character" w:default="1" w:styleId="Policepardfaut">
    <w:name w:val="Default Paragraph Font"/>
    <w:aliases w:val=" Char Ch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1">
    <w:name w:val="1"/>
    <w:basedOn w:val="Normal"/>
    <w:rsid w:val="00B300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Titre">
    <w:name w:val="Title"/>
    <w:basedOn w:val="Normal"/>
    <w:link w:val="TitreCar"/>
    <w:qFormat/>
    <w:rsid w:val="0067625A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20"/>
      <w:lang w:val="en-US" w:eastAsia="fr-FR"/>
    </w:rPr>
  </w:style>
  <w:style w:type="character" w:customStyle="1" w:styleId="TitreCar">
    <w:name w:val="Titre Car"/>
    <w:basedOn w:val="Policepardfaut"/>
    <w:link w:val="Titre"/>
    <w:rsid w:val="0067625A"/>
    <w:rPr>
      <w:rFonts w:cs="Traditional Arabic"/>
      <w:b/>
      <w:bCs/>
      <w:sz w:val="32"/>
      <w:lang w:val="en-US" w:eastAsia="fr-FR"/>
    </w:rPr>
  </w:style>
  <w:style w:type="paragraph" w:styleId="Liste">
    <w:name w:val="List"/>
    <w:basedOn w:val="Normal"/>
    <w:rsid w:val="002144A1"/>
    <w:pPr>
      <w:ind w:left="283" w:hanging="283"/>
      <w:contextualSpacing/>
    </w:pPr>
  </w:style>
  <w:style w:type="paragraph" w:styleId="Salutations">
    <w:name w:val="Salutation"/>
    <w:basedOn w:val="Normal"/>
    <w:next w:val="Normal"/>
    <w:link w:val="SalutationsCar"/>
    <w:rsid w:val="002144A1"/>
  </w:style>
  <w:style w:type="character" w:customStyle="1" w:styleId="SalutationsCar">
    <w:name w:val="Salutations Car"/>
    <w:basedOn w:val="Policepardfaut"/>
    <w:link w:val="Salutations"/>
    <w:rsid w:val="002144A1"/>
    <w:rPr>
      <w:rFonts w:ascii="Calibri" w:eastAsia="Calibri" w:hAnsi="Calibri" w:cs="Arial"/>
      <w:sz w:val="22"/>
      <w:szCs w:val="22"/>
      <w:lang w:val="en-SG" w:eastAsia="en-US"/>
    </w:rPr>
  </w:style>
  <w:style w:type="paragraph" w:styleId="Lgende">
    <w:name w:val="caption"/>
    <w:basedOn w:val="Normal"/>
    <w:next w:val="Normal"/>
    <w:unhideWhenUsed/>
    <w:qFormat/>
    <w:rsid w:val="002144A1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2144A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144A1"/>
    <w:rPr>
      <w:rFonts w:ascii="Calibri" w:eastAsia="Calibri" w:hAnsi="Calibri" w:cs="Arial"/>
      <w:sz w:val="22"/>
      <w:szCs w:val="22"/>
      <w:lang w:val="en-SG" w:eastAsia="en-US"/>
    </w:rPr>
  </w:style>
  <w:style w:type="paragraph" w:styleId="Retrait1religne">
    <w:name w:val="Body Text First Indent"/>
    <w:basedOn w:val="Corpsdetexte"/>
    <w:link w:val="Retrait1religneCar"/>
    <w:rsid w:val="002144A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2144A1"/>
  </w:style>
  <w:style w:type="paragraph" w:styleId="PrformatHTML">
    <w:name w:val="HTML Preformatted"/>
    <w:basedOn w:val="Normal"/>
    <w:link w:val="PrformatHTMLCar"/>
    <w:uiPriority w:val="99"/>
    <w:unhideWhenUsed/>
    <w:rsid w:val="00C9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C902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6DF1A-2E66-469B-8236-78619A249D80}"/>
</file>

<file path=customXml/itemProps2.xml><?xml version="1.0" encoding="utf-8"?>
<ds:datastoreItem xmlns:ds="http://schemas.openxmlformats.org/officeDocument/2006/customXml" ds:itemID="{3F7B110A-BBF0-4A02-B897-29EA070142D4}"/>
</file>

<file path=customXml/itemProps3.xml><?xml version="1.0" encoding="utf-8"?>
<ds:datastoreItem xmlns:ds="http://schemas.openxmlformats.org/officeDocument/2006/customXml" ds:itemID="{E257F234-E9B1-47B5-9996-D020D8315149}"/>
</file>

<file path=customXml/itemProps4.xml><?xml version="1.0" encoding="utf-8"?>
<ds:datastoreItem xmlns:ds="http://schemas.openxmlformats.org/officeDocument/2006/customXml" ds:itemID="{A748EFFD-958F-462C-BE92-04F0A7DAE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البعثة الدائمة لجمهورية مصر العربية</vt:lpstr>
      <vt:lpstr>البعثة الدائمة لجمهورية مصر العربية</vt:lpstr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البعثة الدائمة لجمهورية مصر العربية</dc:title>
  <dc:creator>Windows Royale</dc:creator>
  <cp:lastModifiedBy>Ahouga Said</cp:lastModifiedBy>
  <cp:revision>2</cp:revision>
  <cp:lastPrinted>2019-11-12T14:29:00Z</cp:lastPrinted>
  <dcterms:created xsi:type="dcterms:W3CDTF">2019-11-27T13:46:00Z</dcterms:created>
  <dcterms:modified xsi:type="dcterms:W3CDTF">2019-11-27T13:46:00Z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