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565389" w:rsidRPr="001452E7" w14:paraId="205DB942" w14:textId="77777777" w:rsidTr="00640464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4860C2F7" w14:textId="77777777" w:rsidR="00565389" w:rsidRPr="001452E7" w:rsidRDefault="00565389" w:rsidP="0064046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4698DD63" wp14:editId="7171F295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43245698" w14:textId="77777777" w:rsidR="00565389" w:rsidRPr="001452E7" w:rsidRDefault="00565389" w:rsidP="0064046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641AEF64" w14:textId="77777777" w:rsidR="00565389" w:rsidRPr="001452E7" w:rsidRDefault="00565389" w:rsidP="0064046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4th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785EB7ED" w14:textId="6D820896" w:rsidR="00565389" w:rsidRPr="001452E7" w:rsidRDefault="00565389" w:rsidP="0064046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Italy</w:t>
            </w:r>
          </w:p>
          <w:p w14:paraId="053E6CA3" w14:textId="77777777" w:rsidR="0049350F" w:rsidRDefault="00565389" w:rsidP="0049350F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Delivered by </w:t>
            </w:r>
            <w:r w:rsidR="0049350F">
              <w:rPr>
                <w:rFonts w:eastAsiaTheme="minorHAnsi" w:cstheme="minorBidi"/>
                <w:b/>
                <w:szCs w:val="20"/>
              </w:rPr>
              <w:t xml:space="preserve">Deputy Permanent Representative </w:t>
            </w:r>
          </w:p>
          <w:p w14:paraId="64C2EED0" w14:textId="46DA6A41" w:rsidR="00565389" w:rsidRPr="001452E7" w:rsidRDefault="0049350F" w:rsidP="0049350F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b/>
                <w:szCs w:val="20"/>
              </w:rPr>
              <w:t xml:space="preserve">Michelle </w:t>
            </w:r>
            <w:r w:rsidR="00565389">
              <w:rPr>
                <w:b/>
                <w:szCs w:val="20"/>
              </w:rPr>
              <w:t>McGillivray</w:t>
            </w:r>
          </w:p>
          <w:p w14:paraId="25509B2C" w14:textId="2CD6C79E" w:rsidR="00565389" w:rsidRPr="001452E7" w:rsidRDefault="00565389" w:rsidP="00565389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 November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2019</w:t>
            </w:r>
          </w:p>
        </w:tc>
      </w:tr>
    </w:tbl>
    <w:p w14:paraId="7C356C92" w14:textId="77777777" w:rsidR="005E46BC" w:rsidRDefault="005E46BC" w:rsidP="002E562D">
      <w:pPr>
        <w:jc w:val="both"/>
        <w:rPr>
          <w:b/>
        </w:rPr>
      </w:pPr>
    </w:p>
    <w:p w14:paraId="435312CB" w14:textId="03BB03EB" w:rsidR="00803EF1" w:rsidRDefault="0050769D" w:rsidP="003F4A6D">
      <w:r>
        <w:t>New Zealand commends Italy’s international advocac</w:t>
      </w:r>
      <w:r w:rsidR="005F7A3B">
        <w:t>y for human rights, including</w:t>
      </w:r>
      <w:r>
        <w:t xml:space="preserve"> on the death penalty.</w:t>
      </w:r>
    </w:p>
    <w:p w14:paraId="43EB04EE" w14:textId="77777777" w:rsidR="001F3616" w:rsidRDefault="001F3616" w:rsidP="003F4A6D"/>
    <w:p w14:paraId="2A28FAB3" w14:textId="6184BE12" w:rsidR="001F3616" w:rsidRDefault="001F3616" w:rsidP="003F4A6D">
      <w:r>
        <w:t xml:space="preserve">New Zealand congratulates Italy on its recent decision to establish </w:t>
      </w:r>
      <w:r w:rsidRPr="001F3616">
        <w:t>an extraordinary commission against hatre</w:t>
      </w:r>
      <w:r>
        <w:t>d, racism and anti-Semitism.</w:t>
      </w:r>
    </w:p>
    <w:p w14:paraId="435312CC" w14:textId="77777777" w:rsidR="00647C28" w:rsidRDefault="00647C28" w:rsidP="003F4A6D"/>
    <w:p w14:paraId="435312CD" w14:textId="3C7C9F7E" w:rsidR="00647C28" w:rsidRDefault="00647C28" w:rsidP="003F4A6D">
      <w:r>
        <w:t xml:space="preserve">New Zealand </w:t>
      </w:r>
      <w:r>
        <w:rPr>
          <w:b/>
        </w:rPr>
        <w:t>recommends</w:t>
      </w:r>
      <w:r>
        <w:t xml:space="preserve"> that Italy </w:t>
      </w:r>
      <w:r w:rsidR="001F3616">
        <w:t xml:space="preserve">also </w:t>
      </w:r>
      <w:r>
        <w:t xml:space="preserve">take further steps to address discrimination against ethnic minorities including migrant communities, and on the basis of sexual orientation </w:t>
      </w:r>
      <w:r w:rsidR="00841F67">
        <w:t>and gender identity,</w:t>
      </w:r>
      <w:r>
        <w:t xml:space="preserve"> by strengthening </w:t>
      </w:r>
      <w:r w:rsidR="00841F67">
        <w:t>the scope of</w:t>
      </w:r>
      <w:r>
        <w:t xml:space="preserve"> legislative frameworks</w:t>
      </w:r>
      <w:r w:rsidR="00841F67">
        <w:t xml:space="preserve"> to ensure they cover the full range of discriminatory acts against the Roma, Sinti and </w:t>
      </w:r>
      <w:proofErr w:type="spellStart"/>
      <w:r w:rsidR="00841F67">
        <w:t>Camminanti</w:t>
      </w:r>
      <w:proofErr w:type="spellEnd"/>
      <w:r w:rsidR="00841F67">
        <w:t xml:space="preserve"> communities, the LGBTQI+ community, and people of African descent</w:t>
      </w:r>
      <w:r>
        <w:t>.</w:t>
      </w:r>
      <w:r w:rsidR="00841F67">
        <w:t xml:space="preserve"> </w:t>
      </w:r>
    </w:p>
    <w:p w14:paraId="435312CE" w14:textId="77777777" w:rsidR="00647C28" w:rsidRDefault="00647C28" w:rsidP="003F4A6D"/>
    <w:p w14:paraId="435312CF" w14:textId="43BCAC9A" w:rsidR="00647C28" w:rsidRDefault="00647C28" w:rsidP="003F4A6D">
      <w:r>
        <w:t xml:space="preserve">We also </w:t>
      </w:r>
      <w:r>
        <w:rPr>
          <w:b/>
        </w:rPr>
        <w:t>recommend</w:t>
      </w:r>
      <w:r>
        <w:t xml:space="preserve"> that Italy </w:t>
      </w:r>
      <w:r w:rsidR="000D5F1A">
        <w:t xml:space="preserve">improves accessibility and inclusion for people with disabilities, for example by ensuring compliance with </w:t>
      </w:r>
      <w:r w:rsidR="005F7A3B">
        <w:t xml:space="preserve">national </w:t>
      </w:r>
      <w:r w:rsidR="000D5F1A">
        <w:t>accessibility standards and enacting legislation to address communication barriers.</w:t>
      </w:r>
    </w:p>
    <w:p w14:paraId="435312D0" w14:textId="77777777" w:rsidR="000D5F1A" w:rsidRDefault="000D5F1A" w:rsidP="003F4A6D"/>
    <w:p w14:paraId="435312D1" w14:textId="77777777" w:rsidR="000D5F1A" w:rsidRDefault="000D5F1A" w:rsidP="003F4A6D">
      <w:r>
        <w:t xml:space="preserve">New Zealand </w:t>
      </w:r>
      <w:r>
        <w:rPr>
          <w:b/>
        </w:rPr>
        <w:t>recommends</w:t>
      </w:r>
      <w:r>
        <w:t xml:space="preserve"> that Italy works to address gender-based violence against women and girls, including by improving systems to implement the existing legislative frameworks Italy has to combat such crimes.</w:t>
      </w:r>
    </w:p>
    <w:p w14:paraId="435312D2" w14:textId="77777777" w:rsidR="000D5F1A" w:rsidRDefault="000D5F1A" w:rsidP="003F4A6D"/>
    <w:p w14:paraId="038F7CED" w14:textId="6B690CAA" w:rsidR="002E562D" w:rsidRPr="000D5F1A" w:rsidRDefault="002E562D" w:rsidP="003F4A6D">
      <w:r>
        <w:t>Thank you.</w:t>
      </w:r>
    </w:p>
    <w:sectPr w:rsidR="002E562D" w:rsidRPr="000D5F1A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549E" w14:textId="77777777" w:rsidR="00BF6211" w:rsidRDefault="00BF6211" w:rsidP="00023335">
      <w:pPr>
        <w:spacing w:line="240" w:lineRule="auto"/>
      </w:pPr>
      <w:r>
        <w:separator/>
      </w:r>
    </w:p>
  </w:endnote>
  <w:endnote w:type="continuationSeparator" w:id="0">
    <w:p w14:paraId="6A9D542F" w14:textId="77777777" w:rsidR="00BF6211" w:rsidRDefault="00BF6211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12DD" w14:textId="002DE0F5" w:rsidR="00CE1AA0" w:rsidRPr="00CE1AA0" w:rsidRDefault="0049350F" w:rsidP="00CE1AA0">
    <w:pPr>
      <w:pStyle w:val="DocumentID"/>
    </w:pPr>
    <w:bookmarkStart w:id="4" w:name="document_id2"/>
    <w:r>
      <w:t>POLI-42-907</w:t>
    </w:r>
    <w:bookmarkEnd w:id="4"/>
  </w:p>
  <w:p w14:paraId="435312DE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435312DF" w14:textId="0A3D77FE" w:rsidR="00CE1AA0" w:rsidRDefault="0049350F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435312E0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12E2" w14:textId="1DD1A0E4" w:rsidR="00CE1AA0" w:rsidRDefault="0049350F" w:rsidP="00CE1AA0">
    <w:pPr>
      <w:pStyle w:val="DocumentID"/>
    </w:pPr>
    <w:bookmarkStart w:id="9" w:name="document_id"/>
    <w:r>
      <w:t>POLI-42-907</w:t>
    </w:r>
    <w:bookmarkEnd w:id="9"/>
  </w:p>
  <w:p w14:paraId="435312E3" w14:textId="77777777" w:rsidR="00CE1AA0" w:rsidRPr="00D175FF" w:rsidRDefault="00CE1AA0" w:rsidP="00CE1AA0">
    <w:pPr>
      <w:pStyle w:val="Footer"/>
      <w:rPr>
        <w:sz w:val="20"/>
      </w:rPr>
    </w:pPr>
  </w:p>
  <w:p w14:paraId="435312E4" w14:textId="428DDF0F" w:rsidR="00CE1AA0" w:rsidRDefault="0049350F" w:rsidP="00CE1AA0">
    <w:pPr>
      <w:pStyle w:val="SecurityClassification"/>
    </w:pPr>
    <w:bookmarkStart w:id="10" w:name="security_classification_footer"/>
    <w:r>
      <w:t>UNCLASSIFIED</w:t>
    </w:r>
    <w:bookmarkEnd w:id="10"/>
    <w:r w:rsidR="00CE1AA0">
      <w:t xml:space="preserve"> </w:t>
    </w:r>
    <w:bookmarkStart w:id="11" w:name="security_caveat_footer"/>
    <w:bookmarkEnd w:id="11"/>
  </w:p>
  <w:p w14:paraId="435312E5" w14:textId="77777777" w:rsidR="00023335" w:rsidRDefault="00023335" w:rsidP="00CE1AA0">
    <w:pPr>
      <w:pStyle w:val="Footer"/>
      <w:jc w:val="center"/>
    </w:pPr>
    <w:bookmarkStart w:id="12" w:name="covering_classification_footer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C72C" w14:textId="77777777" w:rsidR="00BF6211" w:rsidRDefault="00BF6211" w:rsidP="00023335">
      <w:pPr>
        <w:spacing w:line="240" w:lineRule="auto"/>
      </w:pPr>
      <w:r>
        <w:separator/>
      </w:r>
    </w:p>
  </w:footnote>
  <w:footnote w:type="continuationSeparator" w:id="0">
    <w:p w14:paraId="2FFCFAB4" w14:textId="77777777" w:rsidR="00BF6211" w:rsidRDefault="00BF6211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12D8" w14:textId="3C16C17D" w:rsidR="00CE1AA0" w:rsidRDefault="0049350F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435312D9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435312DA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435312DB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435312DC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312E1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52A1F20"/>
    <w:multiLevelType w:val="hybridMultilevel"/>
    <w:tmpl w:val="16AC4DBE"/>
    <w:lvl w:ilvl="0" w:tplc="F04ADC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0F"/>
    <w:rsid w:val="00023335"/>
    <w:rsid w:val="00071F86"/>
    <w:rsid w:val="000A3B90"/>
    <w:rsid w:val="000D5F1A"/>
    <w:rsid w:val="001F3616"/>
    <w:rsid w:val="002173C7"/>
    <w:rsid w:val="00236A09"/>
    <w:rsid w:val="0025170F"/>
    <w:rsid w:val="00255554"/>
    <w:rsid w:val="00291F8E"/>
    <w:rsid w:val="002A114B"/>
    <w:rsid w:val="002B6045"/>
    <w:rsid w:val="002C1DD1"/>
    <w:rsid w:val="002E562D"/>
    <w:rsid w:val="00303A38"/>
    <w:rsid w:val="003B659F"/>
    <w:rsid w:val="003E5F24"/>
    <w:rsid w:val="003F4A6D"/>
    <w:rsid w:val="0049350F"/>
    <w:rsid w:val="004E10A9"/>
    <w:rsid w:val="0050769D"/>
    <w:rsid w:val="00515590"/>
    <w:rsid w:val="00565389"/>
    <w:rsid w:val="005A5173"/>
    <w:rsid w:val="005E46BC"/>
    <w:rsid w:val="005F099A"/>
    <w:rsid w:val="005F1313"/>
    <w:rsid w:val="005F7A3B"/>
    <w:rsid w:val="00631640"/>
    <w:rsid w:val="00647C28"/>
    <w:rsid w:val="006A699C"/>
    <w:rsid w:val="00803EF1"/>
    <w:rsid w:val="00832846"/>
    <w:rsid w:val="00841F67"/>
    <w:rsid w:val="00897FCD"/>
    <w:rsid w:val="008A31F0"/>
    <w:rsid w:val="008D17C5"/>
    <w:rsid w:val="008D2C23"/>
    <w:rsid w:val="009602EC"/>
    <w:rsid w:val="009D261D"/>
    <w:rsid w:val="009D40EF"/>
    <w:rsid w:val="009F5D27"/>
    <w:rsid w:val="00AE0B06"/>
    <w:rsid w:val="00B37FF1"/>
    <w:rsid w:val="00B72B22"/>
    <w:rsid w:val="00BF6211"/>
    <w:rsid w:val="00CE1AA0"/>
    <w:rsid w:val="00D148F5"/>
    <w:rsid w:val="00D96C65"/>
    <w:rsid w:val="00DB5226"/>
    <w:rsid w:val="00EA04C8"/>
    <w:rsid w:val="00F06D90"/>
    <w:rsid w:val="00F46CE4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312CB"/>
  <w15:docId w15:val="{4505CD5A-2F4F-4C18-B430-0228C92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3B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9F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9F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25AD37DC1C8CE34AB45A4D26143DCF03" ma:contentTypeVersion="13" ma:contentTypeDescription="Blank Document" ma:contentTypeScope="" ma:versionID="4d8de1989b7205e3721e982de7b30ad2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targetNamespace="http://schemas.microsoft.com/office/2006/metadata/properties" ma:root="true" ma:fieldsID="d4cee49065abda6eb0342dc77f1f38d6" ns1:_="" ns2:_="" ns4:_="">
    <xsd:import namespace="http://schemas.microsoft.com/sharepoint/v3"/>
    <xsd:import namespace="3530594a-bd7c-48c9-91f8-7517fdc1c0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07e130a1-1184-44e0-970b-242b9b34e243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55;#Italy|27b795ab-9bb5-4d28-a47b-aa5369fba5d2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4FCC-9074-409E-BBEC-0F156D63AF71}"/>
</file>

<file path=customXml/itemProps2.xml><?xml version="1.0" encoding="utf-8"?>
<ds:datastoreItem xmlns:ds="http://schemas.openxmlformats.org/officeDocument/2006/customXml" ds:itemID="{4D84A711-DC0B-4932-9311-0F3579F3750B}"/>
</file>

<file path=customXml/itemProps3.xml><?xml version="1.0" encoding="utf-8"?>
<ds:datastoreItem xmlns:ds="http://schemas.openxmlformats.org/officeDocument/2006/customXml" ds:itemID="{2FB586BE-FBB5-4751-9ED5-A9573D5E349C}"/>
</file>

<file path=customXml/itemProps4.xml><?xml version="1.0" encoding="utf-8"?>
<ds:datastoreItem xmlns:ds="http://schemas.openxmlformats.org/officeDocument/2006/customXml" ds:itemID="{B318C21D-B6F9-4C7B-B014-492EC465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6E18B3-53F7-4EF6-AA8F-40A9A84D0A5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768481-10C2-4612-A543-A8A22D0CE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Italy UPR statement November 2019</vt:lpstr>
    </vt:vector>
  </TitlesOfParts>
  <Company>Ministry of Foreign Affairs and Trade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UPR statement November 2019</dc:title>
  <dc:subject/>
  <dc:creator>PIDGEON, Gareth (EUR)</dc:creator>
  <cp:keywords/>
  <dc:description/>
  <cp:lastModifiedBy>mfat-na</cp:lastModifiedBy>
  <cp:revision>2</cp:revision>
  <dcterms:created xsi:type="dcterms:W3CDTF">2019-11-20T16:39:00Z</dcterms:created>
  <dcterms:modified xsi:type="dcterms:W3CDTF">2019-11-20T16:39:00Z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3f2ce133-2560-4ae9-a940-c7473a27c07c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155;#Italy|27b795ab-9bb5-4d28-a47b-aa5369fba5d2</vt:lpwstr>
  </property>
</Properties>
</file>