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2920"/>
        <w:gridCol w:w="6237"/>
      </w:tblGrid>
      <w:tr w:rsidR="00927625" w14:paraId="250863EE" w14:textId="77777777" w:rsidTr="000F20F2">
        <w:tc>
          <w:tcPr>
            <w:tcW w:w="29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250863E6" w14:textId="77777777" w:rsidR="00927625" w:rsidRPr="00D674B6" w:rsidRDefault="00927625" w:rsidP="000F20F2">
            <w:pPr>
              <w:jc w:val="both"/>
              <w:rPr>
                <w:b/>
                <w:sz w:val="10"/>
                <w:szCs w:val="20"/>
              </w:rPr>
            </w:pPr>
            <w:bookmarkStart w:id="0" w:name="_GoBack"/>
            <w:bookmarkEnd w:id="0"/>
          </w:p>
          <w:p w14:paraId="250863E7" w14:textId="77777777" w:rsidR="00927625" w:rsidRDefault="00927625" w:rsidP="000F20F2">
            <w:pPr>
              <w:jc w:val="both"/>
              <w:rPr>
                <w:b/>
                <w:szCs w:val="20"/>
              </w:rPr>
            </w:pPr>
            <w:r>
              <w:rPr>
                <w:noProof/>
                <w:szCs w:val="20"/>
                <w:lang w:eastAsia="en-NZ"/>
              </w:rPr>
              <w:drawing>
                <wp:inline distT="0" distB="0" distL="0" distR="0" wp14:anchorId="2508640A" wp14:editId="2508640B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250863E8" w14:textId="77777777" w:rsidR="00927625" w:rsidRPr="00D674B6" w:rsidRDefault="00927625" w:rsidP="000F20F2">
            <w:pPr>
              <w:spacing w:line="240" w:lineRule="auto"/>
              <w:jc w:val="both"/>
              <w:rPr>
                <w:b/>
                <w:sz w:val="2"/>
                <w:szCs w:val="20"/>
              </w:rPr>
            </w:pPr>
          </w:p>
          <w:p w14:paraId="250863E9" w14:textId="77777777" w:rsidR="00927625" w:rsidRDefault="00927625" w:rsidP="000F20F2">
            <w:pPr>
              <w:spacing w:line="240" w:lineRule="auto"/>
              <w:jc w:val="both"/>
              <w:rPr>
                <w:b/>
                <w:i/>
                <w:szCs w:val="20"/>
              </w:rPr>
            </w:pPr>
          </w:p>
          <w:p w14:paraId="250863EA" w14:textId="77777777" w:rsidR="00927625" w:rsidRDefault="001859BF" w:rsidP="000F20F2">
            <w:pPr>
              <w:spacing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  <w:r w:rsidR="0071767B" w:rsidRPr="0071767B">
              <w:rPr>
                <w:b/>
                <w:szCs w:val="20"/>
                <w:vertAlign w:val="superscript"/>
              </w:rPr>
              <w:t>th</w:t>
            </w:r>
            <w:r w:rsidR="0071767B">
              <w:rPr>
                <w:b/>
                <w:szCs w:val="20"/>
              </w:rPr>
              <w:t xml:space="preserve"> </w:t>
            </w:r>
            <w:r w:rsidR="00927625">
              <w:rPr>
                <w:b/>
                <w:szCs w:val="20"/>
              </w:rPr>
              <w:t>session, Human Rights Council</w:t>
            </w:r>
          </w:p>
          <w:p w14:paraId="1E87D235" w14:textId="77777777" w:rsidR="0082731D" w:rsidRDefault="001859BF" w:rsidP="0082731D">
            <w:pPr>
              <w:spacing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>
              <w:rPr>
                <w:b/>
                <w:szCs w:val="20"/>
                <w:vertAlign w:val="superscript"/>
              </w:rPr>
              <w:t>rd</w:t>
            </w:r>
            <w:r w:rsidR="0071767B">
              <w:rPr>
                <w:b/>
                <w:szCs w:val="20"/>
              </w:rPr>
              <w:t xml:space="preserve"> Universal Periodic Review of Fiji</w:t>
            </w:r>
          </w:p>
          <w:p w14:paraId="0DC02AB9" w14:textId="77777777" w:rsidR="0082731D" w:rsidRDefault="00927625" w:rsidP="0082731D">
            <w:pPr>
              <w:spacing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Delivered by</w:t>
            </w:r>
            <w:r w:rsidR="00D95A1B">
              <w:rPr>
                <w:b/>
                <w:szCs w:val="20"/>
              </w:rPr>
              <w:t xml:space="preserve"> </w:t>
            </w:r>
            <w:r w:rsidR="0082731D">
              <w:rPr>
                <w:b/>
                <w:szCs w:val="20"/>
              </w:rPr>
              <w:t xml:space="preserve">Permanent Representative </w:t>
            </w:r>
          </w:p>
          <w:p w14:paraId="250863EC" w14:textId="2033BEDF" w:rsidR="00927625" w:rsidRDefault="0082731D" w:rsidP="0082731D">
            <w:pPr>
              <w:spacing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Jillian </w:t>
            </w:r>
            <w:proofErr w:type="spellStart"/>
            <w:r>
              <w:rPr>
                <w:b/>
                <w:szCs w:val="20"/>
              </w:rPr>
              <w:t>Dempster</w:t>
            </w:r>
            <w:proofErr w:type="spellEnd"/>
            <w:r w:rsidR="00927625">
              <w:rPr>
                <w:b/>
                <w:szCs w:val="20"/>
              </w:rPr>
              <w:t xml:space="preserve"> </w:t>
            </w:r>
          </w:p>
          <w:p w14:paraId="250863ED" w14:textId="77777777" w:rsidR="00927625" w:rsidRPr="00D674B6" w:rsidRDefault="001859BF" w:rsidP="001859BF">
            <w:pPr>
              <w:spacing w:line="240" w:lineRule="auto"/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6 November</w:t>
            </w:r>
            <w:r w:rsidR="00927625">
              <w:rPr>
                <w:b/>
                <w:szCs w:val="20"/>
              </w:rPr>
              <w:t xml:space="preserve"> 201</w:t>
            </w:r>
            <w:r>
              <w:rPr>
                <w:b/>
                <w:szCs w:val="20"/>
              </w:rPr>
              <w:t>9</w:t>
            </w:r>
          </w:p>
        </w:tc>
      </w:tr>
    </w:tbl>
    <w:p w14:paraId="250863EF" w14:textId="77777777" w:rsidR="00803EF1" w:rsidRDefault="00803EF1" w:rsidP="003F4A6D"/>
    <w:p w14:paraId="250863F0" w14:textId="77777777" w:rsidR="00523D9F" w:rsidRDefault="00523D9F" w:rsidP="00D14C73">
      <w:r>
        <w:t>Mr President</w:t>
      </w:r>
      <w:r w:rsidR="00D14C73">
        <w:t xml:space="preserve">, </w:t>
      </w:r>
    </w:p>
    <w:p w14:paraId="250863F1" w14:textId="77777777" w:rsidR="00523D9F" w:rsidRDefault="00523D9F" w:rsidP="00D14C73"/>
    <w:p w14:paraId="250863F2" w14:textId="77777777" w:rsidR="00D14C73" w:rsidRDefault="00D95A1B" w:rsidP="00DB38B7">
      <w:pPr>
        <w:jc w:val="both"/>
      </w:pPr>
      <w:r>
        <w:t xml:space="preserve">New Zealand welcomes this </w:t>
      </w:r>
      <w:r w:rsidR="00D14C73">
        <w:t xml:space="preserve">opportunity </w:t>
      </w:r>
      <w:r>
        <w:t>for dialogue</w:t>
      </w:r>
      <w:r w:rsidR="00D14C73">
        <w:t xml:space="preserve"> with Fiji on its human rights situation. </w:t>
      </w:r>
    </w:p>
    <w:p w14:paraId="250863F3" w14:textId="77777777" w:rsidR="00D14C73" w:rsidRDefault="00D14C73" w:rsidP="00DB38B7">
      <w:pPr>
        <w:jc w:val="both"/>
      </w:pPr>
    </w:p>
    <w:p w14:paraId="250863F4" w14:textId="23DD659C" w:rsidR="00BC6F0F" w:rsidRDefault="00DB38B7" w:rsidP="00DB38B7">
      <w:pPr>
        <w:jc w:val="both"/>
      </w:pPr>
      <w:r>
        <w:t xml:space="preserve">New Zealand </w:t>
      </w:r>
      <w:r w:rsidR="0008634B" w:rsidRPr="0008634B">
        <w:rPr>
          <w:b/>
        </w:rPr>
        <w:t>commend</w:t>
      </w:r>
      <w:r>
        <w:rPr>
          <w:b/>
        </w:rPr>
        <w:t>s</w:t>
      </w:r>
      <w:r w:rsidR="0008634B">
        <w:t xml:space="preserve"> </w:t>
      </w:r>
      <w:r>
        <w:t xml:space="preserve">the </w:t>
      </w:r>
      <w:r w:rsidR="00BA1BC8">
        <w:t xml:space="preserve">progress </w:t>
      </w:r>
      <w:r w:rsidR="00443C5C">
        <w:t xml:space="preserve">made </w:t>
      </w:r>
      <w:r w:rsidR="00BA1BC8">
        <w:t xml:space="preserve">in </w:t>
      </w:r>
      <w:r w:rsidR="00116908">
        <w:t xml:space="preserve">its 2018 </w:t>
      </w:r>
      <w:r w:rsidR="00BA1BC8">
        <w:t>election towards mainstreaming female political representation</w:t>
      </w:r>
      <w:r w:rsidR="00116908">
        <w:t xml:space="preserve"> and participation in government</w:t>
      </w:r>
      <w:r w:rsidR="00BA1BC8">
        <w:t>.</w:t>
      </w:r>
    </w:p>
    <w:p w14:paraId="250863F5" w14:textId="77777777" w:rsidR="00BC6F0F" w:rsidRDefault="00BC6F0F" w:rsidP="00DB38B7">
      <w:pPr>
        <w:jc w:val="both"/>
      </w:pPr>
    </w:p>
    <w:p w14:paraId="6D7FACD1" w14:textId="7F8FDBB3" w:rsidR="00443C5C" w:rsidRDefault="007B74DD" w:rsidP="00DB38B7">
      <w:pPr>
        <w:jc w:val="both"/>
      </w:pPr>
      <w:r>
        <w:t xml:space="preserve">New Zealand </w:t>
      </w:r>
      <w:r w:rsidRPr="007B74DD">
        <w:rPr>
          <w:b/>
        </w:rPr>
        <w:t>recommends</w:t>
      </w:r>
      <w:r>
        <w:rPr>
          <w:b/>
        </w:rPr>
        <w:t xml:space="preserve"> </w:t>
      </w:r>
      <w:r>
        <w:t xml:space="preserve">that Fiji </w:t>
      </w:r>
      <w:r w:rsidR="00F75ED1">
        <w:t>prioritise comprehensive strengthening</w:t>
      </w:r>
      <w:r w:rsidR="00210CA7">
        <w:t xml:space="preserve"> of</w:t>
      </w:r>
      <w:r w:rsidR="00F75ED1">
        <w:t xml:space="preserve"> its approach to combatting violence against women and other </w:t>
      </w:r>
      <w:r w:rsidR="008A68E4">
        <w:t>vulnerable groups, including</w:t>
      </w:r>
      <w:r w:rsidR="00A87E00">
        <w:t xml:space="preserve"> </w:t>
      </w:r>
      <w:r w:rsidR="000E12B7">
        <w:t xml:space="preserve">through </w:t>
      </w:r>
      <w:r w:rsidR="00F75ED1">
        <w:t xml:space="preserve">legislative, </w:t>
      </w:r>
      <w:r w:rsidR="008B6DD2">
        <w:t>institutional and</w:t>
      </w:r>
      <w:r w:rsidR="00F75ED1">
        <w:t xml:space="preserve"> community-</w:t>
      </w:r>
      <w:r w:rsidR="00A87E00">
        <w:t>based</w:t>
      </w:r>
      <w:r w:rsidR="008B6DD2">
        <w:t xml:space="preserve"> </w:t>
      </w:r>
      <w:r w:rsidR="00A87E00">
        <w:t>mechanisms</w:t>
      </w:r>
      <w:r w:rsidR="00F75ED1">
        <w:t>.</w:t>
      </w:r>
    </w:p>
    <w:p w14:paraId="193C0BA8" w14:textId="77777777" w:rsidR="00443C5C" w:rsidRDefault="00443C5C" w:rsidP="00DB38B7">
      <w:pPr>
        <w:jc w:val="both"/>
      </w:pPr>
    </w:p>
    <w:p w14:paraId="47E8EF9B" w14:textId="7BA1949F" w:rsidR="00DF7DC0" w:rsidRDefault="00443C5C" w:rsidP="00DB38B7">
      <w:pPr>
        <w:jc w:val="both"/>
      </w:pPr>
      <w:r>
        <w:t xml:space="preserve">As </w:t>
      </w:r>
      <w:r w:rsidR="00A87E00">
        <w:t xml:space="preserve">a core </w:t>
      </w:r>
      <w:r>
        <w:t xml:space="preserve">part of combatting gender-based violence, </w:t>
      </w:r>
      <w:r w:rsidR="008A68E4">
        <w:t xml:space="preserve">New Zealand </w:t>
      </w:r>
      <w:r w:rsidR="008A68E4" w:rsidRPr="008A68E4">
        <w:rPr>
          <w:b/>
        </w:rPr>
        <w:t xml:space="preserve">recommends </w:t>
      </w:r>
      <w:r w:rsidR="008A68E4">
        <w:t xml:space="preserve">that Fiji </w:t>
      </w:r>
      <w:r>
        <w:t>take steps to</w:t>
      </w:r>
      <w:r w:rsidR="0060110A">
        <w:t xml:space="preserve"> </w:t>
      </w:r>
      <w:r w:rsidR="00A87E00">
        <w:t xml:space="preserve">improve the quality of and ensure broad access to </w:t>
      </w:r>
      <w:r w:rsidR="0060110A">
        <w:t xml:space="preserve">comprehensive </w:t>
      </w:r>
      <w:r w:rsidR="00A87E00">
        <w:t xml:space="preserve">sexuality education. </w:t>
      </w:r>
    </w:p>
    <w:p w14:paraId="250863F7" w14:textId="77777777" w:rsidR="00BA1BC8" w:rsidRDefault="00BA1BC8" w:rsidP="00DB38B7">
      <w:pPr>
        <w:jc w:val="both"/>
      </w:pPr>
    </w:p>
    <w:p w14:paraId="1455FB24" w14:textId="5C685E13" w:rsidR="008A68E4" w:rsidRDefault="00BA1BC8" w:rsidP="00DB38B7">
      <w:pPr>
        <w:jc w:val="both"/>
      </w:pPr>
      <w:r w:rsidRPr="00BA1BC8">
        <w:t>N</w:t>
      </w:r>
      <w:r>
        <w:t xml:space="preserve">ew </w:t>
      </w:r>
      <w:r w:rsidRPr="00BA1BC8">
        <w:t>Z</w:t>
      </w:r>
      <w:r>
        <w:t>ealand</w:t>
      </w:r>
      <w:r w:rsidRPr="00BA1BC8">
        <w:t xml:space="preserve"> welcomes Fiji’s </w:t>
      </w:r>
      <w:r>
        <w:t>election to</w:t>
      </w:r>
      <w:r w:rsidR="009127E9">
        <w:t xml:space="preserve"> the</w:t>
      </w:r>
      <w:r w:rsidRPr="00BA1BC8">
        <w:t xml:space="preserve"> Human Rights Council and </w:t>
      </w:r>
      <w:r w:rsidRPr="00BA1BC8">
        <w:rPr>
          <w:b/>
        </w:rPr>
        <w:t>commends</w:t>
      </w:r>
      <w:r w:rsidRPr="00BA1BC8">
        <w:t xml:space="preserve"> its recent accession to key human rights instruments: the International Covenant on Ci</w:t>
      </w:r>
      <w:r w:rsidR="008A68E4">
        <w:t>vil and Political Rights;</w:t>
      </w:r>
      <w:r w:rsidR="00F75ED1">
        <w:t xml:space="preserve"> </w:t>
      </w:r>
      <w:r w:rsidRPr="00BA1BC8">
        <w:t>and the International Covenant on Economic, Social and Cultural Rights.</w:t>
      </w:r>
      <w:r w:rsidR="007B74DD">
        <w:t xml:space="preserve"> </w:t>
      </w:r>
    </w:p>
    <w:p w14:paraId="58F02EEB" w14:textId="77777777" w:rsidR="008A68E4" w:rsidRDefault="008A68E4" w:rsidP="00DB38B7">
      <w:pPr>
        <w:jc w:val="both"/>
      </w:pPr>
    </w:p>
    <w:p w14:paraId="250863F8" w14:textId="6F8B1C68" w:rsidR="00BA1BC8" w:rsidRPr="00F75ED1" w:rsidRDefault="00F75ED1" w:rsidP="00DB38B7">
      <w:pPr>
        <w:jc w:val="both"/>
      </w:pPr>
      <w:r>
        <w:t xml:space="preserve">New Zealand </w:t>
      </w:r>
      <w:r w:rsidR="008A68E4">
        <w:t>further</w:t>
      </w:r>
      <w:r>
        <w:t xml:space="preserve"> </w:t>
      </w:r>
      <w:r w:rsidR="00E74F0E">
        <w:t xml:space="preserve">welcomes </w:t>
      </w:r>
      <w:r>
        <w:t>Fiji’s ratification of the</w:t>
      </w:r>
      <w:r w:rsidRPr="00F75ED1">
        <w:t xml:space="preserve"> Convention against Torture and Other Cruel, Inhuman or Degrading Treatment or Punishment</w:t>
      </w:r>
      <w:r w:rsidR="008B6DD2">
        <w:t xml:space="preserve">, </w:t>
      </w:r>
      <w:r w:rsidR="00E74F0E">
        <w:t xml:space="preserve">but </w:t>
      </w:r>
      <w:r w:rsidR="008B6DD2" w:rsidRPr="008B6DD2">
        <w:rPr>
          <w:b/>
        </w:rPr>
        <w:t>recommends</w:t>
      </w:r>
      <w:r w:rsidR="008B6DD2" w:rsidRPr="008B6DD2">
        <w:t xml:space="preserve"> that Fiji </w:t>
      </w:r>
      <w:r w:rsidR="002E4993">
        <w:t xml:space="preserve">withdraw </w:t>
      </w:r>
      <w:r w:rsidR="008B6DD2" w:rsidRPr="008B6DD2">
        <w:t xml:space="preserve">its reservation to the </w:t>
      </w:r>
      <w:r w:rsidR="008B6DD2">
        <w:t>C</w:t>
      </w:r>
      <w:r w:rsidR="0060110A">
        <w:t>onvention.</w:t>
      </w:r>
    </w:p>
    <w:p w14:paraId="250863FF" w14:textId="77777777" w:rsidR="00466CF4" w:rsidRPr="0060110A" w:rsidRDefault="00466CF4" w:rsidP="00DB38B7">
      <w:pPr>
        <w:jc w:val="both"/>
      </w:pPr>
    </w:p>
    <w:p w14:paraId="25086402" w14:textId="142F755E" w:rsidR="00D14C73" w:rsidRPr="00A87E00" w:rsidRDefault="00D26B12" w:rsidP="00443C5C">
      <w:pPr>
        <w:jc w:val="both"/>
      </w:pPr>
      <w:r>
        <w:t xml:space="preserve">Finally, </w:t>
      </w:r>
      <w:r w:rsidR="00A87E00">
        <w:t xml:space="preserve">New Zealand </w:t>
      </w:r>
      <w:r w:rsidR="00D14C73" w:rsidRPr="00A87E00">
        <w:rPr>
          <w:b/>
        </w:rPr>
        <w:t>recommend</w:t>
      </w:r>
      <w:r w:rsidR="00A87E00">
        <w:rPr>
          <w:b/>
        </w:rPr>
        <w:t>s</w:t>
      </w:r>
      <w:r w:rsidR="00D14C73" w:rsidRPr="00A87E00">
        <w:t xml:space="preserve"> that </w:t>
      </w:r>
      <w:r w:rsidR="009C1BF9">
        <w:t xml:space="preserve">Fiji take steps to ensure that </w:t>
      </w:r>
      <w:r w:rsidR="00116908">
        <w:t xml:space="preserve">the </w:t>
      </w:r>
      <w:r w:rsidR="009C1BF9">
        <w:t xml:space="preserve">rights </w:t>
      </w:r>
      <w:r w:rsidR="00116908">
        <w:t>to freedom of expression and association in Fiji, including those of work</w:t>
      </w:r>
      <w:r w:rsidR="009127E9">
        <w:t>er</w:t>
      </w:r>
      <w:r w:rsidR="00116908">
        <w:t xml:space="preserve">s and employers, </w:t>
      </w:r>
      <w:r w:rsidR="009C1BF9">
        <w:t xml:space="preserve">can be exercised without fear of undue interference by authorities, including by </w:t>
      </w:r>
      <w:r w:rsidR="002E4993">
        <w:t xml:space="preserve">progressing </w:t>
      </w:r>
      <w:r w:rsidR="009C1BF9">
        <w:t>legislative reform</w:t>
      </w:r>
      <w:r w:rsidR="00B5191A">
        <w:t xml:space="preserve">. </w:t>
      </w:r>
      <w:r w:rsidR="009C1BF9">
        <w:t xml:space="preserve"> </w:t>
      </w:r>
      <w:r w:rsidR="00D14C73" w:rsidRPr="00A87E00">
        <w:t xml:space="preserve"> </w:t>
      </w:r>
    </w:p>
    <w:p w14:paraId="25086407" w14:textId="77777777" w:rsidR="00D14C73" w:rsidRPr="00B5191A" w:rsidRDefault="00D14C73" w:rsidP="00DB38B7">
      <w:pPr>
        <w:jc w:val="both"/>
      </w:pPr>
    </w:p>
    <w:p w14:paraId="25086408" w14:textId="37936414" w:rsidR="00D14C73" w:rsidRPr="001C60C7" w:rsidRDefault="00523D9F" w:rsidP="00DB38B7">
      <w:pPr>
        <w:jc w:val="both"/>
      </w:pPr>
      <w:r w:rsidRPr="00B5191A">
        <w:t xml:space="preserve">Thank you </w:t>
      </w:r>
      <w:r w:rsidR="00D14C73" w:rsidRPr="00B5191A">
        <w:t>Mr President</w:t>
      </w:r>
      <w:r w:rsidR="00B5191A">
        <w:t xml:space="preserve">. </w:t>
      </w:r>
    </w:p>
    <w:p w14:paraId="25086409" w14:textId="77777777" w:rsidR="001F2EDC" w:rsidRDefault="001F2EDC" w:rsidP="00D14C73"/>
    <w:sectPr w:rsidR="001F2EDC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490D9" w14:textId="77777777" w:rsidR="00A835FD" w:rsidRDefault="00A835FD" w:rsidP="00023335">
      <w:pPr>
        <w:spacing w:line="240" w:lineRule="auto"/>
      </w:pPr>
      <w:r>
        <w:separator/>
      </w:r>
    </w:p>
  </w:endnote>
  <w:endnote w:type="continuationSeparator" w:id="0">
    <w:p w14:paraId="3471B852" w14:textId="77777777" w:rsidR="00A835FD" w:rsidRDefault="00A835FD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86415" w14:textId="489B96F4" w:rsidR="00CE1AA0" w:rsidRPr="00CE1AA0" w:rsidRDefault="00033A7C" w:rsidP="00CE1AA0">
    <w:pPr>
      <w:pStyle w:val="DocumentID"/>
    </w:pPr>
    <w:bookmarkStart w:id="4" w:name="document_id2"/>
    <w:r>
      <w:t>POLI-93-4329</w:t>
    </w:r>
    <w:bookmarkEnd w:id="4"/>
  </w:p>
  <w:p w14:paraId="25086416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25086417" w14:textId="1CF36172" w:rsidR="00CE1AA0" w:rsidRDefault="00033A7C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14:paraId="25086418" w14:textId="77777777"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8641B" w14:textId="219DF91D" w:rsidR="00CE1AA0" w:rsidRDefault="00033A7C" w:rsidP="00CE1AA0">
    <w:pPr>
      <w:pStyle w:val="DocumentID"/>
    </w:pPr>
    <w:bookmarkStart w:id="11" w:name="document_id"/>
    <w:r>
      <w:t>POLI-93-4329</w:t>
    </w:r>
    <w:bookmarkEnd w:id="11"/>
  </w:p>
  <w:p w14:paraId="2508641C" w14:textId="77777777" w:rsidR="00CE1AA0" w:rsidRPr="00D175FF" w:rsidRDefault="00CE1AA0" w:rsidP="00CE1AA0">
    <w:pPr>
      <w:pStyle w:val="Footer"/>
      <w:rPr>
        <w:sz w:val="20"/>
      </w:rPr>
    </w:pPr>
  </w:p>
  <w:p w14:paraId="2508641D" w14:textId="6C17C61B" w:rsidR="00CE1AA0" w:rsidRDefault="00033A7C" w:rsidP="00CE1AA0">
    <w:pPr>
      <w:pStyle w:val="SecurityClassification"/>
    </w:pPr>
    <w:bookmarkStart w:id="12" w:name="security_classification_footer"/>
    <w:r>
      <w:t>UNCLASSIFIED</w:t>
    </w:r>
    <w:bookmarkEnd w:id="12"/>
    <w:r w:rsidR="00CE1AA0">
      <w:t xml:space="preserve"> </w:t>
    </w:r>
    <w:bookmarkStart w:id="13" w:name="security_caveat_footer"/>
    <w:bookmarkEnd w:id="13"/>
  </w:p>
  <w:p w14:paraId="2508641E" w14:textId="77777777" w:rsidR="00023335" w:rsidRDefault="00023335" w:rsidP="00CE1AA0">
    <w:pPr>
      <w:pStyle w:val="Footer"/>
      <w:jc w:val="center"/>
    </w:pPr>
    <w:bookmarkStart w:id="14" w:name="covering_classification_footer"/>
    <w:bookmarkEnd w:id="1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54569" w14:textId="77777777" w:rsidR="00A835FD" w:rsidRDefault="00A835FD" w:rsidP="00023335">
      <w:pPr>
        <w:spacing w:line="240" w:lineRule="auto"/>
      </w:pPr>
      <w:r>
        <w:separator/>
      </w:r>
    </w:p>
  </w:footnote>
  <w:footnote w:type="continuationSeparator" w:id="0">
    <w:p w14:paraId="1DC5EEB7" w14:textId="77777777" w:rsidR="00A835FD" w:rsidRDefault="00A835FD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86410" w14:textId="711206D2" w:rsidR="00CE1AA0" w:rsidRDefault="00033A7C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14:paraId="25086411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25086412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25086413" w14:textId="77777777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2E4993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2E4993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25086414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86419" w14:textId="29452EED" w:rsidR="00CE1AA0" w:rsidRDefault="00033A7C" w:rsidP="00CE1AA0">
    <w:pPr>
      <w:pStyle w:val="SecurityClassification"/>
    </w:pPr>
    <w:bookmarkStart w:id="8" w:name="security_classification_header"/>
    <w:r>
      <w:t>UNCLASSIFIED</w:t>
    </w:r>
    <w:bookmarkEnd w:id="8"/>
    <w:r w:rsidR="00CE1AA0">
      <w:t xml:space="preserve"> </w:t>
    </w:r>
    <w:bookmarkStart w:id="9" w:name="security_caveat_header"/>
    <w:bookmarkEnd w:id="9"/>
  </w:p>
  <w:p w14:paraId="2508641A" w14:textId="77777777" w:rsidR="00023335" w:rsidRDefault="00023335" w:rsidP="00CE1AA0">
    <w:pPr>
      <w:pStyle w:val="SecurityClassification"/>
    </w:pPr>
    <w:bookmarkStart w:id="10" w:name="covering_classification_header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F844A0"/>
    <w:multiLevelType w:val="hybridMultilevel"/>
    <w:tmpl w:val="DDBE61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8" w15:restartNumberingAfterBreak="0">
    <w:nsid w:val="6DAC38E3"/>
    <w:multiLevelType w:val="hybridMultilevel"/>
    <w:tmpl w:val="5C523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25"/>
    <w:rsid w:val="00022BEA"/>
    <w:rsid w:val="00023335"/>
    <w:rsid w:val="00033A7C"/>
    <w:rsid w:val="000654E6"/>
    <w:rsid w:val="00071F86"/>
    <w:rsid w:val="00085988"/>
    <w:rsid w:val="0008634B"/>
    <w:rsid w:val="000A3B90"/>
    <w:rsid w:val="000E12B7"/>
    <w:rsid w:val="001075E2"/>
    <w:rsid w:val="00111A9B"/>
    <w:rsid w:val="0011337F"/>
    <w:rsid w:val="00116908"/>
    <w:rsid w:val="001859BF"/>
    <w:rsid w:val="001925F7"/>
    <w:rsid w:val="001C60C7"/>
    <w:rsid w:val="001E68E5"/>
    <w:rsid w:val="001F2EDC"/>
    <w:rsid w:val="00210CA7"/>
    <w:rsid w:val="002173C7"/>
    <w:rsid w:val="00236A09"/>
    <w:rsid w:val="00255554"/>
    <w:rsid w:val="00291F8E"/>
    <w:rsid w:val="002A0FA6"/>
    <w:rsid w:val="002B6045"/>
    <w:rsid w:val="002C0AF9"/>
    <w:rsid w:val="002E4993"/>
    <w:rsid w:val="002E6688"/>
    <w:rsid w:val="002F260B"/>
    <w:rsid w:val="00303A38"/>
    <w:rsid w:val="00376EB1"/>
    <w:rsid w:val="003C0622"/>
    <w:rsid w:val="003E5F24"/>
    <w:rsid w:val="003F4A6D"/>
    <w:rsid w:val="004012D7"/>
    <w:rsid w:val="00443C5C"/>
    <w:rsid w:val="00466CF4"/>
    <w:rsid w:val="004E080B"/>
    <w:rsid w:val="00515590"/>
    <w:rsid w:val="00523D9F"/>
    <w:rsid w:val="00530123"/>
    <w:rsid w:val="00553EE0"/>
    <w:rsid w:val="005B4B28"/>
    <w:rsid w:val="005F099A"/>
    <w:rsid w:val="005F1313"/>
    <w:rsid w:val="0060110A"/>
    <w:rsid w:val="00631640"/>
    <w:rsid w:val="006A699C"/>
    <w:rsid w:val="006A6C16"/>
    <w:rsid w:val="0071767B"/>
    <w:rsid w:val="007826A6"/>
    <w:rsid w:val="007B74DD"/>
    <w:rsid w:val="00803EF1"/>
    <w:rsid w:val="008175BB"/>
    <w:rsid w:val="0082731D"/>
    <w:rsid w:val="00832846"/>
    <w:rsid w:val="008745D9"/>
    <w:rsid w:val="008A31F0"/>
    <w:rsid w:val="008A68E4"/>
    <w:rsid w:val="008B6DD2"/>
    <w:rsid w:val="008B735C"/>
    <w:rsid w:val="008D17C5"/>
    <w:rsid w:val="008D2C23"/>
    <w:rsid w:val="0090516A"/>
    <w:rsid w:val="009127E9"/>
    <w:rsid w:val="00927625"/>
    <w:rsid w:val="009602EC"/>
    <w:rsid w:val="009777D9"/>
    <w:rsid w:val="009C1BF9"/>
    <w:rsid w:val="009D261D"/>
    <w:rsid w:val="009D40EF"/>
    <w:rsid w:val="009F5D27"/>
    <w:rsid w:val="00A835FD"/>
    <w:rsid w:val="00A87E00"/>
    <w:rsid w:val="00A93C1B"/>
    <w:rsid w:val="00AB384A"/>
    <w:rsid w:val="00AE0B06"/>
    <w:rsid w:val="00B37FF1"/>
    <w:rsid w:val="00B5191A"/>
    <w:rsid w:val="00B72B22"/>
    <w:rsid w:val="00BA1BC8"/>
    <w:rsid w:val="00BC6F0F"/>
    <w:rsid w:val="00C60140"/>
    <w:rsid w:val="00CC2415"/>
    <w:rsid w:val="00CE1AA0"/>
    <w:rsid w:val="00D14C73"/>
    <w:rsid w:val="00D26B12"/>
    <w:rsid w:val="00D95A1B"/>
    <w:rsid w:val="00D96C65"/>
    <w:rsid w:val="00DB38B7"/>
    <w:rsid w:val="00DB5226"/>
    <w:rsid w:val="00DF7DC0"/>
    <w:rsid w:val="00E526ED"/>
    <w:rsid w:val="00E74F0E"/>
    <w:rsid w:val="00EA04C8"/>
    <w:rsid w:val="00EE6EED"/>
    <w:rsid w:val="00EF54FE"/>
    <w:rsid w:val="00F06D90"/>
    <w:rsid w:val="00F13DE8"/>
    <w:rsid w:val="00F72C1B"/>
    <w:rsid w:val="00F75ED1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863E6"/>
  <w15:docId w15:val="{B7DD6115-F005-480D-A46D-60F4A587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927625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ListParagraph">
    <w:name w:val="List Paragraph"/>
    <w:basedOn w:val="Normal"/>
    <w:uiPriority w:val="34"/>
    <w:qFormat/>
    <w:rsid w:val="002A0FA6"/>
    <w:pPr>
      <w:tabs>
        <w:tab w:val="clear" w:pos="567"/>
      </w:tabs>
      <w:spacing w:line="240" w:lineRule="auto"/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4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B2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B2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B2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3007A-545B-490F-ACB3-CCBCBB647514}"/>
</file>

<file path=customXml/itemProps2.xml><?xml version="1.0" encoding="utf-8"?>
<ds:datastoreItem xmlns:ds="http://schemas.openxmlformats.org/officeDocument/2006/customXml" ds:itemID="{D940EFBA-7DCA-4A47-84B3-121849AB54E2}"/>
</file>

<file path=customXml/itemProps3.xml><?xml version="1.0" encoding="utf-8"?>
<ds:datastoreItem xmlns:ds="http://schemas.openxmlformats.org/officeDocument/2006/customXml" ds:itemID="{48D7C172-1CB4-4F98-AA25-EA7515477CD0}"/>
</file>

<file path=customXml/itemProps4.xml><?xml version="1.0" encoding="utf-8"?>
<ds:datastoreItem xmlns:ds="http://schemas.openxmlformats.org/officeDocument/2006/customXml" ds:itemID="{8EF3007A-545B-490F-ACB3-CCBCBB6475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23355B-A9BA-4BBB-81DE-B1FB36E3D8D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1F26C1E-B6F7-4468-A844-FC76CE79B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- Fiji third cycle statement 2019</vt:lpstr>
    </vt:vector>
  </TitlesOfParts>
  <Company>Ministry of Foreign Affairs and Trade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- Fiji third cycle statement 2019</dc:title>
  <dc:subject/>
  <dc:creator>MCDOWELL, Sarah (UNHC)</dc:creator>
  <cp:keywords/>
  <dc:description/>
  <cp:lastModifiedBy>mfat-na</cp:lastModifiedBy>
  <cp:revision>2</cp:revision>
  <cp:lastPrinted>2014-10-28T16:22:00Z</cp:lastPrinted>
  <dcterms:created xsi:type="dcterms:W3CDTF">2019-11-20T16:40:00Z</dcterms:created>
  <dcterms:modified xsi:type="dcterms:W3CDTF">2019-11-20T16:40:00Z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/>
  </property>
  <property fmtid="{D5CDD505-2E9C-101B-9397-08002B2CF9AE}" pid="5" name="_dlc_DocIdItemGuid">
    <vt:lpwstr>5aaacd51-3338-4ac3-ba53-5f5a3e9d7378</vt:lpwstr>
  </property>
  <property fmtid="{D5CDD505-2E9C-101B-9397-08002B2CF9AE}" pid="6" name="Order">
    <vt:r8>84800</vt:r8>
  </property>
  <property fmtid="{D5CDD505-2E9C-101B-9397-08002B2CF9AE}" pid="7" name="Topic">
    <vt:lpwstr>1202;#Universal Periodic Review|1b8cc9fc-0b75-48ce-bd77-1454baed4f7f</vt:lpwstr>
  </property>
  <property fmtid="{D5CDD505-2E9C-101B-9397-08002B2CF9AE}" pid="8" name="SecurityClassification">
    <vt:lpwstr>226;#UNCLASSIFIED|738a72fd-0042-476f-991b-551c05ade48c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>209;#Fiji|a530047a-ad81-4c1f-9c10-540afa2dbdf2</vt:lpwstr>
  </property>
  <property fmtid="{D5CDD505-2E9C-101B-9397-08002B2CF9AE}" pid="11" name="SecurityCaveat">
    <vt:lpwstr/>
  </property>
  <property fmtid="{D5CDD505-2E9C-101B-9397-08002B2CF9AE}" pid="12" name="_dlc_LastRun">
    <vt:lpwstr>04/30/2016 23:59:38</vt:lpwstr>
  </property>
  <property fmtid="{D5CDD505-2E9C-101B-9397-08002B2CF9AE}" pid="13" name="_dlc_ItemStageId">
    <vt:lpwstr>1</vt:lpwstr>
  </property>
</Properties>
</file>