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Style w:val="Ninguno"/>
          <w:rFonts w:ascii="Times New Roman" w:hAnsi="Times New Roman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RECOMENDACIONES IRAQ</w:t>
      </w:r>
    </w:p>
    <w:p>
      <w:pPr>
        <w:pStyle w:val="Normal.0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Default"/>
        <w:jc w:val="both"/>
      </w:pPr>
      <w:r>
        <w:rPr>
          <w:rtl w:val="0"/>
          <w:lang w:val="es-ES_tradnl"/>
        </w:rPr>
        <w:t>Uruguay manifiesta su preocupaci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por la situaci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los derechos humanos en Irak, especialmente en materia de promoci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protecci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los derechos humanos de las poblaciones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vulnerables</w:t>
      </w:r>
      <w:r>
        <w:rPr>
          <w:rtl w:val="0"/>
          <w:lang w:val="es-ES_tradnl"/>
        </w:rPr>
        <w:t xml:space="preserve">, </w:t>
      </w:r>
      <w:r>
        <w:rPr>
          <w:rtl w:val="0"/>
          <w:lang w:val="es-ES_tradnl"/>
        </w:rPr>
        <w:t>causa</w:t>
      </w:r>
      <w:r>
        <w:rPr>
          <w:rtl w:val="0"/>
          <w:lang w:val="es-ES_tradnl"/>
        </w:rPr>
        <w:t>ndo</w:t>
      </w:r>
      <w:r>
        <w:rPr>
          <w:rtl w:val="0"/>
          <w:lang w:val="es-ES_tradnl"/>
        </w:rPr>
        <w:t xml:space="preserve"> especial sorpresa la supresi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Ministerio de Derechos Humanos.</w:t>
      </w:r>
    </w:p>
    <w:p>
      <w:pPr>
        <w:pStyle w:val="Default"/>
        <w:jc w:val="both"/>
      </w:pPr>
      <w:r>
        <w:rPr>
          <w:rStyle w:val="Ninguno"/>
          <w:u w:val="single"/>
          <w:rtl w:val="0"/>
          <w:lang w:val="es-ES_tradnl"/>
        </w:rPr>
        <w:t xml:space="preserve">Recomendamos: </w:t>
      </w:r>
      <w:r>
        <w:rPr>
          <w:rtl w:val="0"/>
          <w:lang w:val="es-ES_tradnl"/>
        </w:rPr>
        <w:t xml:space="preserve"> </w:t>
      </w:r>
    </w:p>
    <w:p>
      <w:pPr>
        <w:pStyle w:val="Default"/>
        <w:jc w:val="both"/>
      </w:pPr>
      <w:r>
        <w:rPr>
          <w:rtl w:val="0"/>
          <w:lang w:val="es-ES_tradnl"/>
        </w:rPr>
        <w:t>1. Adherir al Segundo Protocolo Facultativo del ICCPR, al Protocolo Facultativo de CAT, y a la Convenci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Internacional sobre la Protecci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los Derechos de Todos los Trabajadores Migratorios y de Sus Familiares.</w:t>
      </w:r>
    </w:p>
    <w:p>
      <w:pPr>
        <w:pStyle w:val="Default"/>
        <w:jc w:val="both"/>
      </w:pPr>
      <w:r>
        <w:rPr>
          <w:rtl w:val="0"/>
          <w:lang w:val="es-ES_tradnl"/>
        </w:rPr>
        <w:t>2. Retirar las reservas formuladas a la CEDAW, con el fin de derogar todas las leyes y pr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cticas discriminatorias y garantizar la igualdad en todas las cuestiones relacionadas con la familia y las relaciones conyugales; </w:t>
      </w:r>
      <w:r>
        <w:rPr>
          <w:rtl w:val="0"/>
          <w:lang w:val="es-ES_tradnl"/>
        </w:rPr>
        <w:t>y</w:t>
      </w:r>
      <w:r>
        <w:rPr>
          <w:rtl w:val="0"/>
          <w:lang w:val="es-ES_tradnl"/>
        </w:rPr>
        <w:t xml:space="preserve"> derogar las disposiciones legales por las que se perdona el castigo a los violadores que se casan con sus v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ctimas.</w:t>
      </w:r>
    </w:p>
    <w:p>
      <w:pPr>
        <w:pStyle w:val="Default"/>
        <w:jc w:val="both"/>
      </w:pPr>
      <w:r>
        <w:rPr>
          <w:rtl w:val="0"/>
          <w:lang w:val="es-ES_tradnl"/>
        </w:rPr>
        <w:t>3. Tomar acciones concretas a fin de proteger el respeto y el libre ejercicio de los derechos de todas las minor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del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s.</w:t>
      </w:r>
    </w:p>
    <w:p>
      <w:pPr>
        <w:pStyle w:val="Default"/>
        <w:jc w:val="both"/>
      </w:pPr>
      <w:r>
        <w:rPr>
          <w:rtl w:val="0"/>
          <w:lang w:val="es-ES_tradnl"/>
        </w:rPr>
        <w:t>4. Continuar los esfuerzos tendientes a la protecci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la asistencia humanitaria a los desplazados por el conflicto interno, en particular mujeres y 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os, en el marco del derecho internacional de los derechos humanos y el derecho internacional humanitario.</w:t>
      </w: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Default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042E25-793D-4E43-B017-E4879C07154A}"/>
</file>

<file path=customXml/itemProps2.xml><?xml version="1.0" encoding="utf-8"?>
<ds:datastoreItem xmlns:ds="http://schemas.openxmlformats.org/officeDocument/2006/customXml" ds:itemID="{1D59944B-BBA4-4BA6-B1F4-6032B915573A}"/>
</file>

<file path=customXml/itemProps3.xml><?xml version="1.0" encoding="utf-8"?>
<ds:datastoreItem xmlns:ds="http://schemas.openxmlformats.org/officeDocument/2006/customXml" ds:itemID="{64585A0A-B8D4-44D5-BA25-F197668C7D39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