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MISI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N PERMANENTE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DEL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URUGUAY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ANTE LA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OFICINA DE LAS NACIONES UNIDAS Y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LAS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ORGANIZACIONES INTERNACIO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NALES CON SEDE EN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GINEBRA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34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º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n del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Grupo de Trabajo del EPU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</w:rPr>
        <w:t> </w:t>
      </w:r>
    </w:p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or omisión"/>
        <w:bidi w:val="0"/>
        <w:spacing w:line="320" w:lineRule="atLeast"/>
        <w:ind w:left="0" w:right="0" w:firstLine="0"/>
        <w:jc w:val="center"/>
        <w:rPr>
          <w:rStyle w:val="Ninguno"/>
          <w:rFonts w:ascii="Times New Roman" w:cs="Times New Roman" w:hAnsi="Times New Roman" w:eastAsia="Times New Roman"/>
          <w:b w:val="0"/>
          <w:bCs w:val="0"/>
          <w:sz w:val="24"/>
          <w:szCs w:val="24"/>
          <w:u w:val="single"/>
          <w:rtl w:val="0"/>
        </w:rPr>
      </w:pP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u w:val="single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RECOMENDACIONES GAMBIA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Uruguay felicita a Gambia por la ratificaci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 de importantes instrumentos internacionales,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como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la Convenci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it-IT"/>
        </w:rPr>
        <w:t>n contra la Tortura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y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la Convenci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sobre la Protecci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 de los Derechos de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odos los Trabajadores Migratorios y de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us Familiares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Animamos a Gambia a redoblar esfuerzos a fin de asegurar la adecuaci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su marco normativo, en particular en lo que refiere a la abolici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efectiva de la pena de muerte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, y </w:t>
      </w:r>
      <w:r>
        <w:rPr>
          <w:rFonts w:ascii="Times New Roman" w:hAnsi="Times New Roman"/>
          <w:sz w:val="24"/>
          <w:szCs w:val="24"/>
          <w:rtl w:val="0"/>
          <w:lang w:val="pt-PT"/>
        </w:rPr>
        <w:t>a continuar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consolida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ndo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su </w:t>
      </w:r>
      <w:r>
        <w:rPr>
          <w:rFonts w:ascii="Times New Roman" w:hAnsi="Times New Roman"/>
          <w:sz w:val="24"/>
          <w:szCs w:val="24"/>
          <w:rtl w:val="0"/>
          <w:lang w:val="pt-PT"/>
        </w:rPr>
        <w:t>institucionalida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d. 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Esperamos que con el establecimiento de la Comisi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Nacional de Derechos Humanos pueda asegurarse un entorno propicio para los defensores de los derechos humanos, y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pt-PT"/>
        </w:rPr>
        <w:t>recomendamos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373" w:right="0" w:hanging="37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   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Tomar medidas adicionales para asegurar el pleno respeto a la libertad de expresi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y asociaci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n, de acuerdo a los est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ndares internacionales,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como para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asegurar un ambiente favorable a los defensores de derechos humanos y a los periodistas, libre de actos de intimidaci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y represalias.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6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  <w:r>
        <w:rPr>
          <w:rStyle w:val="Ninguno"/>
          <w:rFonts w:ascii="Times New Roman" w:hAnsi="Times New Roman"/>
          <w:sz w:val="24"/>
          <w:szCs w:val="24"/>
          <w:u w:val="none"/>
          <w:rtl w:val="0"/>
          <w:lang w:val="es-ES_tradnl"/>
        </w:rPr>
        <w:t>Asimismo,</w:t>
      </w:r>
      <w:r>
        <w:rPr>
          <w:rStyle w:val="Ninguno"/>
          <w:rFonts w:ascii="Times New Roman" w:hAnsi="Times New Roman" w:hint="default"/>
          <w:sz w:val="24"/>
          <w:szCs w:val="24"/>
          <w:u w:val="none"/>
          <w:rtl w:val="0"/>
        </w:rPr>
        <w:t> </w:t>
      </w:r>
      <w:r>
        <w:rPr>
          <w:rFonts w:ascii="Times New Roman" w:hAnsi="Times New Roman"/>
          <w:sz w:val="24"/>
          <w:szCs w:val="24"/>
          <w:u w:val="single"/>
          <w:rtl w:val="0"/>
          <w:lang w:val="pt-PT"/>
        </w:rPr>
        <w:t>recomendamos</w:t>
      </w:r>
      <w:r>
        <w:rPr>
          <w:rStyle w:val="Ninguno"/>
          <w:rFonts w:ascii="Times New Roman" w:hAnsi="Times New Roman"/>
          <w:sz w:val="24"/>
          <w:szCs w:val="24"/>
          <w:u w:val="none"/>
          <w:rtl w:val="0"/>
        </w:rPr>
        <w:t>: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373" w:right="0" w:hanging="37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   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Continuar implementando medidas tales como la Pol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tica de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nero y Empoderamiento de la Mujer con el fin de combatir los problemas que enfrentan las mujeres y las 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as para acceder a sus derechos en pie de igualdad con los hombres, inclusive en relaci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con el acceso a los derechos a la propiedad, los derechos reproductivos, y la protecci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contra la violencia y la discriminaci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Por omisión"/>
        <w:bidi w:val="0"/>
        <w:spacing w:line="300" w:lineRule="atLeast"/>
        <w:ind w:left="373" w:right="0" w:hanging="37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Por 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ltimo, e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xpresamos preocupaci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 por el reconocimiento expreso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en el informe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de Gambia de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su falta de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voluntad de despenalizar las relaciones sexuales entre personas del mismo sexo. No obstante, tomamos nota de la voluntad del gobierno de revisar y derogar todas las leyes represivas y discriminatorias, esperando que este proceso de reflexi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permita la pronta derogaci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 de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la legislaci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que criminaliza la homosexualidad.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Ninguno">
    <w:name w:val="Ninguno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A40A1-23EA-4EF8-BF23-6AF4265CBF8C}"/>
</file>

<file path=customXml/itemProps2.xml><?xml version="1.0" encoding="utf-8"?>
<ds:datastoreItem xmlns:ds="http://schemas.openxmlformats.org/officeDocument/2006/customXml" ds:itemID="{22FB9907-2B18-474D-91F2-AC62D687D61C}"/>
</file>

<file path=customXml/itemProps3.xml><?xml version="1.0" encoding="utf-8"?>
<ds:datastoreItem xmlns:ds="http://schemas.openxmlformats.org/officeDocument/2006/customXml" ds:itemID="{8ADF168A-03FF-4441-854C-8909D3F825C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