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Intervention by the Republic of Cyprus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Tuesday, 12 November 2019, 09.30-12.00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UNIVERSAL PERIODIC REVIEW</w:t>
      </w:r>
    </w:p>
    <w:p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34</w:t>
      </w:r>
      <w:r w:rsidRPr="00F33423">
        <w:rPr>
          <w:rFonts w:ascii="Candara" w:eastAsiaTheme="minorHAnsi" w:hAnsi="Candara"/>
          <w:b/>
          <w:sz w:val="24"/>
          <w:szCs w:val="24"/>
          <w:vertAlign w:val="superscript"/>
          <w:lang w:val="en-US"/>
        </w:rPr>
        <w:t>th</w:t>
      </w:r>
      <w:r w:rsidRPr="00F33423">
        <w:rPr>
          <w:rFonts w:ascii="Candara" w:eastAsiaTheme="minorHAnsi" w:hAnsi="Candara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F33423">
        <w:rPr>
          <w:rFonts w:ascii="Candara" w:eastAsiaTheme="minorHAnsi" w:hAnsi="Candara"/>
          <w:b/>
          <w:sz w:val="24"/>
          <w:szCs w:val="24"/>
          <w:lang w:val="en-US"/>
        </w:rPr>
        <w:t>Session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u w:val="single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u w:val="single"/>
          <w:lang w:val="en-US"/>
        </w:rPr>
        <w:t>SLOVENIA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>Mr. President,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>Cyprus welcomes the participation of the Slovenian delegation at today’s UPR, as well as the presentation of its Report.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 w:cs="Times New Roman"/>
          <w:b/>
          <w:bCs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</w:rPr>
        <w:t xml:space="preserve">Cyprus commends Slovenia </w:t>
      </w:r>
      <w:r w:rsidRPr="00F33423">
        <w:rPr>
          <w:rFonts w:ascii="Candara" w:eastAsiaTheme="minorHAnsi" w:hAnsi="Candara"/>
          <w:sz w:val="24"/>
          <w:szCs w:val="24"/>
          <w:lang w:val="en-US"/>
        </w:rPr>
        <w:t>for its strong commitment to the promotion and protection of human rights. In this regard, we welcome the introduction of measures aiming at regulating persons</w:t>
      </w:r>
      <w:r>
        <w:rPr>
          <w:rFonts w:ascii="Candara" w:eastAsiaTheme="minorHAnsi" w:hAnsi="Candara"/>
          <w:sz w:val="24"/>
          <w:szCs w:val="24"/>
          <w:lang w:val="en-US"/>
        </w:rPr>
        <w:t xml:space="preserve"> with </w:t>
      </w:r>
      <w:r w:rsidRPr="00F33423">
        <w:rPr>
          <w:rFonts w:ascii="Candara" w:eastAsiaTheme="minorHAnsi" w:hAnsi="Candara"/>
          <w:sz w:val="24"/>
          <w:szCs w:val="24"/>
          <w:lang w:val="en-US"/>
        </w:rPr>
        <w:t>erased</w:t>
      </w:r>
      <w:r>
        <w:rPr>
          <w:rFonts w:ascii="Candara" w:eastAsiaTheme="minorHAnsi" w:hAnsi="Candara"/>
          <w:sz w:val="24"/>
          <w:szCs w:val="24"/>
          <w:lang w:val="en-US"/>
        </w:rPr>
        <w:t xml:space="preserve"> status,</w:t>
      </w: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 as well </w:t>
      </w:r>
      <w:r>
        <w:rPr>
          <w:rFonts w:ascii="Candara" w:eastAsiaTheme="minorHAnsi" w:hAnsi="Candara"/>
          <w:sz w:val="24"/>
          <w:szCs w:val="24"/>
          <w:lang w:val="en-US"/>
        </w:rPr>
        <w:t xml:space="preserve">as </w:t>
      </w:r>
      <w:r w:rsidRPr="00F33423">
        <w:rPr>
          <w:rFonts w:ascii="Candara" w:eastAsiaTheme="minorHAnsi" w:hAnsi="Candara"/>
          <w:sz w:val="24"/>
          <w:szCs w:val="24"/>
          <w:lang w:val="en-US"/>
        </w:rPr>
        <w:t>measures taken to accelerate social integration of minority groups, such as the National Programme of Measures for Roma.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  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>Cyprus would like to make the following recommendations to Slovenia: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:rsidR="00F33423" w:rsidRPr="00F33423" w:rsidRDefault="00F33423" w:rsidP="00F33423">
      <w:pPr>
        <w:numPr>
          <w:ilvl w:val="0"/>
          <w:numId w:val="1"/>
        </w:num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>Strengthen the asylum system to fully respect the principle of “non-refoulement</w:t>
      </w:r>
      <w:proofErr w:type="gramStart"/>
      <w:r w:rsidRPr="00F33423">
        <w:rPr>
          <w:rFonts w:ascii="Candara" w:eastAsiaTheme="minorHAnsi" w:hAnsi="Candara"/>
          <w:sz w:val="24"/>
          <w:szCs w:val="24"/>
          <w:lang w:val="en-US"/>
        </w:rPr>
        <w:t>”,.</w:t>
      </w:r>
      <w:proofErr w:type="gramEnd"/>
    </w:p>
    <w:p w:rsidR="00F33423" w:rsidRPr="00F33423" w:rsidRDefault="00F33423" w:rsidP="00F33423">
      <w:pPr>
        <w:numPr>
          <w:ilvl w:val="0"/>
          <w:numId w:val="1"/>
        </w:num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 w:rsidRPr="00F33423">
        <w:rPr>
          <w:rFonts w:ascii="Candara" w:eastAsiaTheme="minorHAnsi" w:hAnsi="Candara"/>
          <w:sz w:val="24"/>
          <w:szCs w:val="24"/>
        </w:rPr>
        <w:t>Ensure that all asylum seekers have access to legal representation by providing free legal aid to those not in a position to pay for a lawyer.</w:t>
      </w:r>
    </w:p>
    <w:p w:rsidR="00F33423" w:rsidRPr="00F33423" w:rsidRDefault="00F33423" w:rsidP="00F33423">
      <w:pPr>
        <w:numPr>
          <w:ilvl w:val="0"/>
          <w:numId w:val="1"/>
        </w:num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</w:rPr>
        <w:t>Work towards implementing additional measures to ensure that unaccompanied children or families with children are not held in detention.</w:t>
      </w:r>
    </w:p>
    <w:p w:rsidR="00F33423" w:rsidRPr="00F33423" w:rsidRDefault="00F33423" w:rsidP="00F33423">
      <w:pPr>
        <w:spacing w:line="276" w:lineRule="auto"/>
        <w:ind w:left="720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 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Thank you.  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both"/>
        <w:rPr>
          <w:rFonts w:eastAsiaTheme="minorHAnsi"/>
          <w:lang w:val="en-US"/>
        </w:rPr>
      </w:pPr>
    </w:p>
    <w:p w:rsidR="00F33423" w:rsidRDefault="00F33423"/>
    <w:sectPr w:rsidR="00F33423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23"/>
    <w:rsid w:val="003A2503"/>
    <w:rsid w:val="00765A7B"/>
    <w:rsid w:val="00F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26BE"/>
  <w15:chartTrackingRefBased/>
  <w15:docId w15:val="{AFB9A1C6-0A0C-0C46-8556-1B63C16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FC17B-5354-4F4D-B6FE-3ECA2497C9C7}"/>
</file>

<file path=customXml/itemProps2.xml><?xml version="1.0" encoding="utf-8"?>
<ds:datastoreItem xmlns:ds="http://schemas.openxmlformats.org/officeDocument/2006/customXml" ds:itemID="{47AAD434-2611-4BF8-A0E5-F41EF2C4DD19}"/>
</file>

<file path=customXml/itemProps3.xml><?xml version="1.0" encoding="utf-8"?>
<ds:datastoreItem xmlns:ds="http://schemas.openxmlformats.org/officeDocument/2006/customXml" ds:itemID="{FE72318E-9992-49C2-ADDC-274E2CD17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2</cp:revision>
  <dcterms:created xsi:type="dcterms:W3CDTF">2019-11-12T09:51:00Z</dcterms:created>
  <dcterms:modified xsi:type="dcterms:W3CDTF">2019-11-12T09:51:00Z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