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35B" w:rsidRPr="00A0454D" w:rsidRDefault="0048435B" w:rsidP="0048435B">
      <w:pPr>
        <w:spacing w:before="120" w:after="120"/>
        <w:jc w:val="center"/>
        <w:rPr>
          <w:rFonts w:ascii="Georgia" w:hAnsi="Georgia" w:cs="Calibri"/>
          <w:b/>
          <w:sz w:val="24"/>
          <w:szCs w:val="24"/>
          <w:lang w:val="en-US"/>
        </w:rPr>
      </w:pPr>
      <w:r w:rsidRPr="00A0454D">
        <w:rPr>
          <w:rFonts w:ascii="Georgia" w:hAnsi="Georgia" w:cs="Calibri"/>
          <w:b/>
          <w:sz w:val="24"/>
          <w:szCs w:val="24"/>
          <w:lang w:val="en-US"/>
        </w:rPr>
        <w:t>UPR 33</w:t>
      </w:r>
    </w:p>
    <w:p w:rsidR="0048435B" w:rsidRPr="00A0454D" w:rsidRDefault="0048435B" w:rsidP="0048435B">
      <w:pPr>
        <w:jc w:val="center"/>
        <w:rPr>
          <w:rFonts w:ascii="Georgia" w:hAnsi="Georgia" w:cs="Calibri"/>
          <w:b/>
          <w:sz w:val="24"/>
          <w:szCs w:val="24"/>
          <w:lang w:val="en-US"/>
        </w:rPr>
      </w:pPr>
      <w:r w:rsidRPr="00A0454D">
        <w:rPr>
          <w:rFonts w:ascii="Georgia" w:hAnsi="Georgia" w:cs="Calibri"/>
          <w:b/>
          <w:sz w:val="24"/>
          <w:szCs w:val="24"/>
          <w:lang w:val="en-US"/>
        </w:rPr>
        <w:t>Côte d’Ivoire</w:t>
      </w:r>
    </w:p>
    <w:p w:rsidR="0048435B" w:rsidRPr="00A0454D" w:rsidRDefault="0048435B" w:rsidP="0048435B">
      <w:pPr>
        <w:jc w:val="center"/>
        <w:rPr>
          <w:rFonts w:ascii="Georgia" w:hAnsi="Georgia" w:cs="Calibri"/>
          <w:i/>
          <w:sz w:val="24"/>
          <w:szCs w:val="24"/>
          <w:lang w:val="en-US"/>
        </w:rPr>
      </w:pPr>
      <w:r w:rsidRPr="00A0454D">
        <w:rPr>
          <w:rFonts w:ascii="Georgia" w:hAnsi="Georgia" w:cs="Calibri"/>
          <w:i/>
          <w:sz w:val="24"/>
          <w:szCs w:val="24"/>
          <w:lang w:val="en-US"/>
        </w:rPr>
        <w:t>7</w:t>
      </w:r>
      <w:r w:rsidRPr="00A0454D">
        <w:rPr>
          <w:rFonts w:ascii="Georgia" w:hAnsi="Georgia" w:cs="Calibri"/>
          <w:i/>
          <w:sz w:val="24"/>
          <w:szCs w:val="24"/>
          <w:vertAlign w:val="superscript"/>
          <w:lang w:val="en-US"/>
        </w:rPr>
        <w:t>th</w:t>
      </w:r>
      <w:r w:rsidRPr="00A0454D">
        <w:rPr>
          <w:rFonts w:ascii="Georgia" w:hAnsi="Georgia" w:cs="Calibri"/>
          <w:i/>
          <w:sz w:val="24"/>
          <w:szCs w:val="24"/>
          <w:lang w:val="en-US"/>
        </w:rPr>
        <w:t xml:space="preserve"> May 2019</w:t>
      </w:r>
    </w:p>
    <w:p w:rsidR="0048435B" w:rsidRPr="00A0454D" w:rsidRDefault="0048435B" w:rsidP="0048435B">
      <w:pPr>
        <w:jc w:val="center"/>
        <w:rPr>
          <w:rFonts w:ascii="Georgia" w:hAnsi="Georgia" w:cs="Calibri"/>
          <w:b/>
          <w:sz w:val="24"/>
          <w:szCs w:val="24"/>
          <w:lang w:val="en-US"/>
        </w:rPr>
      </w:pPr>
      <w:r w:rsidRPr="00A0454D">
        <w:rPr>
          <w:rFonts w:ascii="Georgia" w:hAnsi="Georgia" w:cs="Calibri"/>
          <w:b/>
          <w:sz w:val="24"/>
          <w:szCs w:val="24"/>
          <w:lang w:val="en-US"/>
        </w:rPr>
        <w:t>STATEMENT BY THE CZECH REPUBLIC</w:t>
      </w:r>
    </w:p>
    <w:p w:rsidR="0048435B" w:rsidRPr="00A0454D" w:rsidRDefault="0048435B" w:rsidP="0048435B">
      <w:pPr>
        <w:pStyle w:val="Default"/>
        <w:rPr>
          <w:rFonts w:ascii="Georgia" w:hAnsi="Georgia" w:cs="Calibri"/>
          <w:lang w:val="en-GB"/>
        </w:rPr>
      </w:pPr>
    </w:p>
    <w:p w:rsidR="0048435B" w:rsidRPr="00A0454D" w:rsidRDefault="0048435B" w:rsidP="0048435B">
      <w:pPr>
        <w:pStyle w:val="Default"/>
        <w:spacing w:after="23" w:line="276" w:lineRule="auto"/>
        <w:jc w:val="both"/>
        <w:rPr>
          <w:rFonts w:ascii="Georgia" w:hAnsi="Georgia" w:cs="Calibri"/>
          <w:lang w:val="en-GB"/>
        </w:rPr>
      </w:pPr>
      <w:r w:rsidRPr="00A0454D">
        <w:rPr>
          <w:rFonts w:ascii="Georgia" w:hAnsi="Georgia" w:cs="Calibri"/>
          <w:lang w:val="en-GB"/>
        </w:rPr>
        <w:t>The Czech Republic welcomes the delegation of Côte d’Ivoire and thanks for its comprehensive presentation and the UPR National Report.</w:t>
      </w:r>
    </w:p>
    <w:p w:rsidR="0048435B" w:rsidRPr="00A0454D" w:rsidRDefault="0048435B" w:rsidP="0048435B">
      <w:pPr>
        <w:pStyle w:val="Default"/>
        <w:spacing w:after="23" w:line="276" w:lineRule="auto"/>
        <w:jc w:val="both"/>
        <w:rPr>
          <w:rFonts w:ascii="Georgia" w:hAnsi="Georgia" w:cs="Calibri"/>
          <w:lang w:val="en-GB"/>
        </w:rPr>
      </w:pPr>
    </w:p>
    <w:p w:rsidR="0048435B" w:rsidRPr="00A0454D" w:rsidRDefault="0048435B" w:rsidP="0048435B">
      <w:pPr>
        <w:pStyle w:val="Default"/>
        <w:spacing w:after="23" w:line="276" w:lineRule="auto"/>
        <w:jc w:val="both"/>
        <w:rPr>
          <w:rFonts w:ascii="Georgia" w:hAnsi="Georgia" w:cs="Calibri"/>
          <w:lang w:val="en-GB"/>
        </w:rPr>
      </w:pPr>
      <w:r w:rsidRPr="00A0454D">
        <w:rPr>
          <w:rFonts w:ascii="Georgia" w:hAnsi="Georgia" w:cs="Calibri"/>
          <w:lang w:val="en-GB"/>
        </w:rPr>
        <w:t>The Czech Republic appreciates positive steps taken by the Government of Côte d’Ivoire, including the improvements carried out at the Juvenile Observation Centre or the adoption of the new law strengthening protection of human rights defenders.</w:t>
      </w:r>
    </w:p>
    <w:p w:rsidR="0048435B" w:rsidRPr="00A0454D" w:rsidRDefault="0048435B" w:rsidP="0048435B">
      <w:pPr>
        <w:pStyle w:val="Default"/>
        <w:spacing w:after="23" w:line="276" w:lineRule="auto"/>
        <w:jc w:val="both"/>
        <w:rPr>
          <w:rFonts w:ascii="Georgia" w:hAnsi="Georgia" w:cs="Calibri"/>
          <w:lang w:val="en-GB"/>
        </w:rPr>
      </w:pPr>
    </w:p>
    <w:p w:rsidR="0048435B" w:rsidRPr="00A0454D" w:rsidRDefault="0048435B" w:rsidP="0048435B">
      <w:pPr>
        <w:pStyle w:val="Default"/>
        <w:spacing w:after="23" w:line="276" w:lineRule="auto"/>
        <w:jc w:val="both"/>
        <w:rPr>
          <w:rFonts w:ascii="Georgia" w:hAnsi="Georgia" w:cs="Calibri"/>
          <w:lang w:val="en-GB"/>
        </w:rPr>
      </w:pPr>
      <w:proofErr w:type="gramStart"/>
      <w:r w:rsidRPr="00A0454D">
        <w:rPr>
          <w:rFonts w:ascii="Georgia" w:hAnsi="Georgia" w:cs="Calibri"/>
          <w:lang w:val="en-GB"/>
        </w:rPr>
        <w:t>To further improve</w:t>
      </w:r>
      <w:proofErr w:type="gramEnd"/>
      <w:r w:rsidRPr="00A0454D">
        <w:rPr>
          <w:rFonts w:ascii="Georgia" w:hAnsi="Georgia" w:cs="Calibri"/>
          <w:lang w:val="en-GB"/>
        </w:rPr>
        <w:t xml:space="preserve"> the situation in respective areas, the Czech Republic makes the following </w:t>
      </w:r>
      <w:r w:rsidRPr="00A0454D">
        <w:rPr>
          <w:rFonts w:ascii="Georgia" w:hAnsi="Georgia" w:cs="Calibri"/>
          <w:b/>
          <w:lang w:val="en-GB"/>
        </w:rPr>
        <w:t>recommendations</w:t>
      </w:r>
      <w:r w:rsidRPr="00A0454D">
        <w:rPr>
          <w:rFonts w:ascii="Georgia" w:hAnsi="Georgia" w:cs="Calibri"/>
          <w:lang w:val="en-GB"/>
        </w:rPr>
        <w:t xml:space="preserve"> to the Government of Côte d’Ivoire:</w:t>
      </w:r>
    </w:p>
    <w:p w:rsidR="0048435B" w:rsidRPr="00A0454D" w:rsidRDefault="0048435B" w:rsidP="0048435B">
      <w:pPr>
        <w:pStyle w:val="Default"/>
        <w:numPr>
          <w:ilvl w:val="0"/>
          <w:numId w:val="2"/>
        </w:numPr>
        <w:spacing w:after="23" w:line="276" w:lineRule="auto"/>
        <w:jc w:val="both"/>
        <w:rPr>
          <w:rFonts w:ascii="Georgia" w:hAnsi="Georgia" w:cs="Calibri"/>
          <w:lang w:val="en-GB"/>
        </w:rPr>
      </w:pPr>
      <w:r w:rsidRPr="00A0454D">
        <w:rPr>
          <w:rFonts w:ascii="Georgia" w:hAnsi="Georgia" w:cs="Calibri"/>
          <w:lang w:val="en-GB"/>
        </w:rPr>
        <w:t>Ensure the freedom of expression and freedom of assembly. Prosecute and convict perpetrators of harassment and threats aimed at independent journalists and bloggers. Take effective measures to enforce the Act No. 2014-388 of 20 June 2014 on the protection of human rights defenders.</w:t>
      </w:r>
    </w:p>
    <w:p w:rsidR="0048435B" w:rsidRPr="00A0454D" w:rsidRDefault="0048435B" w:rsidP="0048435B">
      <w:pPr>
        <w:pStyle w:val="Default"/>
        <w:numPr>
          <w:ilvl w:val="0"/>
          <w:numId w:val="2"/>
        </w:numPr>
        <w:spacing w:after="23" w:line="276" w:lineRule="auto"/>
        <w:jc w:val="both"/>
        <w:rPr>
          <w:rFonts w:ascii="Georgia" w:hAnsi="Georgia" w:cs="Calibri"/>
          <w:lang w:val="en-GB"/>
        </w:rPr>
      </w:pPr>
      <w:r w:rsidRPr="00A0454D">
        <w:rPr>
          <w:rFonts w:ascii="Georgia" w:hAnsi="Georgia" w:cs="Calibri"/>
          <w:lang w:val="en-GB"/>
        </w:rPr>
        <w:t>Investigate all allegations of extrajudicial killings, enforced disappearance and torture carried out by the police, security and defence forces. Bring the perpetrators to justice and compensate the victims.</w:t>
      </w:r>
    </w:p>
    <w:p w:rsidR="0048435B" w:rsidRPr="00A0454D" w:rsidRDefault="0048435B" w:rsidP="0048435B">
      <w:pPr>
        <w:pStyle w:val="Default"/>
        <w:numPr>
          <w:ilvl w:val="0"/>
          <w:numId w:val="2"/>
        </w:numPr>
        <w:spacing w:after="23" w:line="276" w:lineRule="auto"/>
        <w:jc w:val="both"/>
        <w:rPr>
          <w:rFonts w:ascii="Georgia" w:hAnsi="Georgia" w:cs="Calibri"/>
          <w:lang w:val="en-GB"/>
        </w:rPr>
      </w:pPr>
      <w:r w:rsidRPr="00A0454D">
        <w:rPr>
          <w:rFonts w:ascii="Georgia" w:hAnsi="Georgia" w:cs="Calibri"/>
          <w:lang w:val="en-GB"/>
        </w:rPr>
        <w:t>Take necessary steps to protect persons with albinism and LGBTI persons against all forms of discrimination, intimidation and violence.</w:t>
      </w:r>
    </w:p>
    <w:p w:rsidR="0048435B" w:rsidRPr="00A0454D" w:rsidRDefault="0048435B" w:rsidP="0048435B">
      <w:pPr>
        <w:pStyle w:val="Default"/>
        <w:numPr>
          <w:ilvl w:val="0"/>
          <w:numId w:val="2"/>
        </w:numPr>
        <w:spacing w:after="23" w:line="276" w:lineRule="auto"/>
        <w:jc w:val="both"/>
        <w:rPr>
          <w:rFonts w:ascii="Georgia" w:hAnsi="Georgia" w:cs="Calibri"/>
          <w:lang w:val="en-GB"/>
        </w:rPr>
      </w:pPr>
      <w:r w:rsidRPr="00A0454D">
        <w:rPr>
          <w:rFonts w:ascii="Georgia" w:hAnsi="Georgia" w:cs="Calibri"/>
          <w:lang w:val="en-GB"/>
        </w:rPr>
        <w:t>Ratify the CAT-OP, as previously recommended, as well as the CED.</w:t>
      </w:r>
    </w:p>
    <w:p w:rsidR="0048435B" w:rsidRPr="00A0454D" w:rsidRDefault="0048435B" w:rsidP="0048435B">
      <w:pPr>
        <w:pStyle w:val="Default"/>
        <w:spacing w:after="23" w:line="276" w:lineRule="auto"/>
        <w:jc w:val="both"/>
        <w:rPr>
          <w:rFonts w:ascii="Georgia" w:hAnsi="Georgia" w:cs="Calibri"/>
          <w:lang w:val="en-GB"/>
        </w:rPr>
      </w:pPr>
    </w:p>
    <w:p w:rsidR="0048435B" w:rsidRPr="00A0454D" w:rsidRDefault="0048435B" w:rsidP="0048435B">
      <w:pPr>
        <w:pStyle w:val="Default"/>
        <w:spacing w:after="23" w:line="276" w:lineRule="auto"/>
        <w:jc w:val="both"/>
        <w:rPr>
          <w:rFonts w:ascii="Georgia" w:hAnsi="Georgia" w:cs="Calibri"/>
          <w:lang w:val="en-GB"/>
        </w:rPr>
      </w:pPr>
      <w:r w:rsidRPr="00A0454D">
        <w:rPr>
          <w:rFonts w:ascii="Georgia" w:hAnsi="Georgia" w:cs="Calibri"/>
          <w:lang w:val="en-GB"/>
        </w:rPr>
        <w:t>Thank you.</w:t>
      </w:r>
    </w:p>
    <w:p w:rsidR="00C86B4A" w:rsidRPr="0048435B" w:rsidRDefault="0048435B" w:rsidP="0048435B">
      <w:bookmarkStart w:id="0" w:name="_GoBack"/>
      <w:bookmarkEnd w:id="0"/>
    </w:p>
    <w:sectPr w:rsidR="00C86B4A" w:rsidRPr="00484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612F1"/>
    <w:multiLevelType w:val="hybridMultilevel"/>
    <w:tmpl w:val="A46ADF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49D208B"/>
    <w:multiLevelType w:val="hybridMultilevel"/>
    <w:tmpl w:val="4D8A22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8E"/>
    <w:rsid w:val="00036EA5"/>
    <w:rsid w:val="0048435B"/>
    <w:rsid w:val="00E02E8E"/>
    <w:rsid w:val="00EF6E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F89A8"/>
  <w15:chartTrackingRefBased/>
  <w15:docId w15:val="{C3C42BE2-9F17-441D-854D-CCAB744A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2E8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2E8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D3A4F-41FD-45B7-BF41-7B888CFB784D}"/>
</file>

<file path=customXml/itemProps2.xml><?xml version="1.0" encoding="utf-8"?>
<ds:datastoreItem xmlns:ds="http://schemas.openxmlformats.org/officeDocument/2006/customXml" ds:itemID="{2BA8BF8A-AA16-4003-9350-3B6553817E32}"/>
</file>

<file path=customXml/itemProps3.xml><?xml version="1.0" encoding="utf-8"?>
<ds:datastoreItem xmlns:ds="http://schemas.openxmlformats.org/officeDocument/2006/customXml" ds:itemID="{441B3162-3E04-4082-89AE-780E08E2677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1112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2</cp:revision>
  <dcterms:created xsi:type="dcterms:W3CDTF">2019-05-06T16:28:00Z</dcterms:created>
  <dcterms:modified xsi:type="dcterms:W3CDTF">2019-05-06T16:28:00Z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