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E15E" w14:textId="77777777" w:rsidR="00BD5DB9" w:rsidRPr="00A32CB6" w:rsidRDefault="00BD5DB9" w:rsidP="00DE6CF1">
      <w:pPr>
        <w:ind w:right="90"/>
        <w:jc w:val="center"/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</w:pPr>
      <w:r w:rsidRPr="00A32CB6"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  <w:t>GEORGIA</w:t>
      </w:r>
    </w:p>
    <w:p w14:paraId="1B899384" w14:textId="77777777" w:rsidR="00BD5DB9" w:rsidRPr="00A32CB6" w:rsidRDefault="00BD5DB9" w:rsidP="00BD5DB9">
      <w:pPr>
        <w:ind w:left="180" w:right="90"/>
        <w:jc w:val="center"/>
        <w:rPr>
          <w:rFonts w:ascii="Arial" w:hAnsi="Arial" w:cs="Arial"/>
          <w:bCs/>
          <w:color w:val="0D0D0D" w:themeColor="text1" w:themeTint="F2"/>
          <w:lang w:val="en-GB"/>
        </w:rPr>
      </w:pPr>
    </w:p>
    <w:p w14:paraId="20000B1D" w14:textId="4F047EE7" w:rsidR="00BD5DB9" w:rsidRDefault="00A32CB6" w:rsidP="00A32CB6">
      <w:pPr>
        <w:ind w:left="180" w:right="9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The 33</w:t>
      </w:r>
      <w:r w:rsidRPr="00A32CB6">
        <w:rPr>
          <w:rFonts w:ascii="Arial" w:hAnsi="Arial" w:cs="Arial"/>
          <w:b/>
          <w:bCs/>
          <w:color w:val="000000" w:themeColor="text1"/>
          <w:vertAlign w:val="superscript"/>
        </w:rPr>
        <w:t>rd</w:t>
      </w:r>
      <w:r>
        <w:rPr>
          <w:rFonts w:ascii="Arial" w:hAnsi="Arial" w:cs="Arial"/>
          <w:b/>
          <w:bCs/>
          <w:color w:val="000000" w:themeColor="text1"/>
        </w:rPr>
        <w:t xml:space="preserve"> SESSION OF THE UPR WORKING GROUP</w:t>
      </w:r>
    </w:p>
    <w:p w14:paraId="7A8552BC" w14:textId="67C3E8EF" w:rsidR="00A32CB6" w:rsidRPr="00A32CB6" w:rsidRDefault="00A32CB6" w:rsidP="00A32CB6">
      <w:pPr>
        <w:ind w:left="180" w:right="9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UPR OF NICARAGUA</w:t>
      </w:r>
    </w:p>
    <w:p w14:paraId="3CB7284F" w14:textId="11ECB4C8" w:rsidR="00BD5DB9" w:rsidRPr="00A32CB6" w:rsidRDefault="00A32CB6" w:rsidP="006C7F2A">
      <w:pPr>
        <w:ind w:left="180" w:right="90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15 May 2019</w:t>
      </w:r>
    </w:p>
    <w:p w14:paraId="59923132" w14:textId="77777777" w:rsidR="00BD5DB9" w:rsidRPr="00A32CB6" w:rsidRDefault="00BD5DB9" w:rsidP="006C7F2A">
      <w:pPr>
        <w:ind w:right="180"/>
        <w:jc w:val="both"/>
        <w:rPr>
          <w:rFonts w:ascii="Arial" w:hAnsi="Arial" w:cs="Arial"/>
        </w:rPr>
      </w:pPr>
    </w:p>
    <w:p w14:paraId="618E15F6" w14:textId="77777777" w:rsidR="00E22FD7" w:rsidRDefault="00E22FD7" w:rsidP="00E22F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5B593A" w14:textId="6852B063" w:rsidR="00D145F9" w:rsidRPr="00E22FD7" w:rsidRDefault="00CA363D" w:rsidP="00CA36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Because of the recent events in Nicaragua,</w:t>
      </w:r>
      <w:r w:rsidR="00E22FD7">
        <w:rPr>
          <w:rFonts w:ascii="Arial" w:hAnsi="Arial" w:cs="Arial"/>
        </w:rPr>
        <w:t xml:space="preserve"> </w:t>
      </w:r>
      <w:r w:rsidR="008135A9" w:rsidRPr="0040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highlighted</w:t>
      </w:r>
      <w:r w:rsidR="00E22FD7">
        <w:rPr>
          <w:rFonts w:ascii="Arial" w:hAnsi="Arial" w:cs="Arial"/>
        </w:rPr>
        <w:t xml:space="preserve"> by the </w:t>
      </w:r>
      <w:r w:rsidR="008135A9" w:rsidRPr="00401C20">
        <w:rPr>
          <w:rFonts w:ascii="Arial" w:hAnsi="Arial" w:cs="Arial"/>
        </w:rPr>
        <w:t>excessive use of forc</w:t>
      </w:r>
      <w:r>
        <w:rPr>
          <w:rFonts w:ascii="Arial" w:hAnsi="Arial" w:cs="Arial"/>
        </w:rPr>
        <w:t>e by the police,</w:t>
      </w:r>
      <w:r w:rsidR="008135A9" w:rsidRPr="00401C20">
        <w:rPr>
          <w:rFonts w:ascii="Arial" w:hAnsi="Arial" w:cs="Arial"/>
        </w:rPr>
        <w:t xml:space="preserve"> the use of vigilante squads; blocking of access to emergency medical care; arbitrary detention; stigmatization campaigns; intimidation of leaders of social movements; and lack of diligence in investigations</w:t>
      </w:r>
      <w:r>
        <w:rPr>
          <w:rFonts w:ascii="Arial" w:hAnsi="Arial" w:cs="Arial"/>
        </w:rPr>
        <w:t>,</w:t>
      </w:r>
      <w:r w:rsidR="00D145F9" w:rsidRPr="00D145F9">
        <w:rPr>
          <w:rFonts w:ascii="Arial" w:hAnsi="Arial" w:cs="Arial"/>
          <w:lang w:val="en-GB"/>
        </w:rPr>
        <w:t xml:space="preserve"> </w:t>
      </w:r>
      <w:r w:rsidR="004D00B6">
        <w:rPr>
          <w:rFonts w:ascii="Arial" w:hAnsi="Arial" w:cs="Arial"/>
        </w:rPr>
        <w:t>w</w:t>
      </w:r>
      <w:r w:rsidRPr="00401C20">
        <w:rPr>
          <w:rFonts w:ascii="Arial" w:hAnsi="Arial" w:cs="Arial"/>
        </w:rPr>
        <w:t>e remain gravely concerned with the situation of</w:t>
      </w:r>
      <w:r>
        <w:rPr>
          <w:rFonts w:ascii="Arial" w:hAnsi="Arial" w:cs="Arial"/>
        </w:rPr>
        <w:t xml:space="preserve"> the</w:t>
      </w:r>
      <w:r w:rsidRPr="00401C20">
        <w:rPr>
          <w:rFonts w:ascii="Arial" w:hAnsi="Arial" w:cs="Arial"/>
        </w:rPr>
        <w:t xml:space="preserve"> human rights in Nicaragua</w:t>
      </w:r>
    </w:p>
    <w:p w14:paraId="2B45329A" w14:textId="77777777" w:rsidR="0050614C" w:rsidRDefault="0050614C" w:rsidP="002D04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4DD776" w14:textId="4A5D66B4" w:rsidR="002D04AC" w:rsidRDefault="002D04AC" w:rsidP="002D04A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My delegation is also concerned that despite complaints of victims, </w:t>
      </w:r>
      <w:r w:rsidRPr="004D00B6">
        <w:rPr>
          <w:rFonts w:ascii="Arial" w:hAnsi="Arial" w:cs="Arial"/>
          <w:sz w:val="24"/>
          <w:szCs w:val="24"/>
        </w:rPr>
        <w:t>no investigation had been launched and no one had been brought to trial, except for those who had been arrested for taking part in the protests and barricades</w:t>
      </w:r>
      <w:r w:rsidR="004D00B6">
        <w:rPr>
          <w:rFonts w:ascii="Arial" w:hAnsi="Arial" w:cs="Arial"/>
          <w:sz w:val="24"/>
          <w:szCs w:val="24"/>
        </w:rPr>
        <w:t>.</w:t>
      </w:r>
    </w:p>
    <w:p w14:paraId="61AA5C32" w14:textId="3611E9E3" w:rsidR="00D145F9" w:rsidRDefault="00D145F9" w:rsidP="00D145F9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Georgia is highly alarmed with the fact that Government has expelled the OHCHR and other relevant human rights monitoring mechanisms from Nicaragua.</w:t>
      </w:r>
    </w:p>
    <w:p w14:paraId="72CB1E95" w14:textId="29A82E05" w:rsidR="00E55DCA" w:rsidRPr="00A32CB6" w:rsidRDefault="002B00D9" w:rsidP="006C7F2A">
      <w:pPr>
        <w:pStyle w:val="s4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 w:rsidRPr="00A32CB6">
        <w:rPr>
          <w:rFonts w:ascii="Arial" w:hAnsi="Arial" w:cs="Arial"/>
        </w:rPr>
        <w:t xml:space="preserve">Consequently, </w:t>
      </w:r>
      <w:r w:rsidR="00E55DCA" w:rsidRPr="00A32CB6">
        <w:rPr>
          <w:rFonts w:ascii="Arial" w:hAnsi="Arial" w:cs="Arial"/>
        </w:rPr>
        <w:t>Georgia recommend</w:t>
      </w:r>
      <w:r w:rsidR="00DB5C65">
        <w:rPr>
          <w:rFonts w:ascii="Arial" w:hAnsi="Arial" w:cs="Arial"/>
        </w:rPr>
        <w:t>s to the Government of Nicaragua</w:t>
      </w:r>
      <w:r w:rsidR="00A55ACF" w:rsidRPr="00A32CB6">
        <w:rPr>
          <w:rFonts w:ascii="Arial" w:hAnsi="Arial" w:cs="Arial"/>
        </w:rPr>
        <w:t>:</w:t>
      </w:r>
    </w:p>
    <w:p w14:paraId="75613456" w14:textId="77777777" w:rsidR="00BD5DB9" w:rsidRPr="00A32CB6" w:rsidRDefault="00BD5DB9" w:rsidP="006C7F2A">
      <w:pPr>
        <w:tabs>
          <w:tab w:val="left" w:pos="9356"/>
        </w:tabs>
        <w:ind w:left="360" w:right="4"/>
        <w:jc w:val="both"/>
        <w:rPr>
          <w:rFonts w:ascii="Arial" w:hAnsi="Arial" w:cs="Arial"/>
          <w:sz w:val="24"/>
          <w:szCs w:val="24"/>
        </w:rPr>
      </w:pPr>
    </w:p>
    <w:p w14:paraId="2D21AAF9" w14:textId="7637FF12" w:rsidR="00E55DCA" w:rsidRDefault="00BD5DB9" w:rsidP="006C7F2A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  <w:rPr>
          <w:rFonts w:ascii="Arial" w:hAnsi="Arial" w:cs="Arial"/>
          <w:sz w:val="24"/>
          <w:szCs w:val="24"/>
        </w:rPr>
      </w:pPr>
      <w:r w:rsidRPr="00D145F9">
        <w:rPr>
          <w:rFonts w:ascii="Arial" w:hAnsi="Arial" w:cs="Arial"/>
          <w:sz w:val="24"/>
          <w:szCs w:val="24"/>
        </w:rPr>
        <w:t xml:space="preserve">To </w:t>
      </w:r>
      <w:r w:rsidR="00D145F9">
        <w:rPr>
          <w:rFonts w:ascii="Arial" w:hAnsi="Arial" w:cs="Arial"/>
          <w:sz w:val="24"/>
          <w:szCs w:val="24"/>
        </w:rPr>
        <w:t>allow access for OHCHR and all relevant international and regional human rights monitoring mechanisms;</w:t>
      </w:r>
    </w:p>
    <w:p w14:paraId="4F351F80" w14:textId="43DDB3BD" w:rsidR="0050614C" w:rsidRPr="00D145F9" w:rsidRDefault="0050614C" w:rsidP="006C7F2A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honor its commitment related to the release of political prisoners;</w:t>
      </w:r>
    </w:p>
    <w:p w14:paraId="3FF2034F" w14:textId="0F14FB9F" w:rsidR="00347E83" w:rsidRPr="00D145F9" w:rsidRDefault="003A6D13" w:rsidP="006C7F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145F9">
        <w:rPr>
          <w:rFonts w:ascii="Arial" w:eastAsia="Times New Roman" w:hAnsi="Arial" w:cs="Arial"/>
          <w:sz w:val="24"/>
          <w:szCs w:val="24"/>
        </w:rPr>
        <w:t>To g</w:t>
      </w:r>
      <w:r w:rsidR="00347E83" w:rsidRPr="00D145F9">
        <w:rPr>
          <w:rFonts w:ascii="Arial" w:eastAsia="Times New Roman" w:hAnsi="Arial" w:cs="Arial"/>
          <w:sz w:val="24"/>
          <w:szCs w:val="24"/>
        </w:rPr>
        <w:t>uarantee</w:t>
      </w:r>
      <w:r w:rsidR="00D145F9">
        <w:rPr>
          <w:rFonts w:ascii="Arial" w:eastAsia="Times New Roman" w:hAnsi="Arial" w:cs="Arial"/>
          <w:sz w:val="24"/>
          <w:szCs w:val="24"/>
        </w:rPr>
        <w:t xml:space="preserve"> freedom of expression and </w:t>
      </w:r>
      <w:r w:rsidR="004D00B6">
        <w:rPr>
          <w:rFonts w:ascii="Arial" w:eastAsia="Times New Roman" w:hAnsi="Arial" w:cs="Arial"/>
          <w:sz w:val="24"/>
          <w:szCs w:val="24"/>
        </w:rPr>
        <w:t xml:space="preserve">non-resumption of </w:t>
      </w:r>
      <w:r w:rsidR="00D145F9">
        <w:rPr>
          <w:rFonts w:ascii="Arial" w:eastAsia="Times New Roman" w:hAnsi="Arial" w:cs="Arial"/>
          <w:sz w:val="24"/>
          <w:szCs w:val="24"/>
        </w:rPr>
        <w:t>violence;</w:t>
      </w:r>
    </w:p>
    <w:p w14:paraId="6D3E2418" w14:textId="19380436" w:rsidR="00D145F9" w:rsidRPr="00D145F9" w:rsidRDefault="00D145F9" w:rsidP="006C7F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145F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create</w:t>
      </w:r>
      <w:r w:rsidRPr="00D145F9">
        <w:rPr>
          <w:rFonts w:ascii="Arial" w:hAnsi="Arial" w:cs="Arial"/>
          <w:sz w:val="24"/>
          <w:szCs w:val="24"/>
        </w:rPr>
        <w:t xml:space="preserve"> a mechanism of international investigation into the violence that had occurred.</w:t>
      </w:r>
    </w:p>
    <w:p w14:paraId="60F7AC3F" w14:textId="55D68EA9" w:rsidR="00BD5DB9" w:rsidRDefault="00891852" w:rsidP="006A31EF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  <w:rPr>
          <w:rFonts w:ascii="Arial" w:hAnsi="Arial" w:cs="Arial"/>
          <w:sz w:val="24"/>
          <w:szCs w:val="24"/>
        </w:rPr>
      </w:pPr>
      <w:r w:rsidRPr="00D145F9">
        <w:rPr>
          <w:rFonts w:ascii="Arial" w:hAnsi="Arial" w:cs="Arial"/>
          <w:sz w:val="24"/>
          <w:szCs w:val="24"/>
        </w:rPr>
        <w:t>To ratify</w:t>
      </w:r>
      <w:r w:rsidR="00D145F9" w:rsidRPr="00D145F9">
        <w:rPr>
          <w:rFonts w:ascii="Arial" w:hAnsi="Arial" w:cs="Arial"/>
          <w:sz w:val="24"/>
          <w:szCs w:val="24"/>
        </w:rPr>
        <w:t xml:space="preserve"> CEDAW,</w:t>
      </w:r>
      <w:r w:rsidR="00401C20" w:rsidRPr="00D145F9">
        <w:rPr>
          <w:rFonts w:ascii="Arial" w:hAnsi="Arial" w:cs="Arial"/>
          <w:sz w:val="24"/>
          <w:szCs w:val="24"/>
        </w:rPr>
        <w:t xml:space="preserve"> Optional Protocol to the Convention on the Rights of the Child</w:t>
      </w:r>
      <w:r w:rsidR="00D145F9" w:rsidRPr="00D145F9">
        <w:rPr>
          <w:rFonts w:ascii="Arial" w:hAnsi="Arial" w:cs="Arial"/>
          <w:sz w:val="24"/>
          <w:szCs w:val="24"/>
        </w:rPr>
        <w:t xml:space="preserve"> on a communications procedure and</w:t>
      </w:r>
      <w:r w:rsidR="00401C20" w:rsidRPr="00D145F9">
        <w:rPr>
          <w:rFonts w:ascii="Arial" w:hAnsi="Arial" w:cs="Arial"/>
          <w:sz w:val="24"/>
          <w:szCs w:val="24"/>
        </w:rPr>
        <w:t xml:space="preserve"> the Rome Statute of the </w:t>
      </w:r>
      <w:r w:rsidR="00D145F9">
        <w:rPr>
          <w:rFonts w:ascii="Arial" w:hAnsi="Arial" w:cs="Arial"/>
          <w:sz w:val="24"/>
          <w:szCs w:val="24"/>
        </w:rPr>
        <w:t>ICC</w:t>
      </w:r>
    </w:p>
    <w:p w14:paraId="1897CB00" w14:textId="77777777" w:rsidR="00BD5DB9" w:rsidRPr="00D145F9" w:rsidRDefault="00BD5DB9">
      <w:pPr>
        <w:rPr>
          <w:rFonts w:ascii="Arial" w:hAnsi="Arial" w:cs="Arial"/>
          <w:sz w:val="24"/>
          <w:szCs w:val="24"/>
        </w:rPr>
      </w:pPr>
    </w:p>
    <w:p w14:paraId="125377E0" w14:textId="77777777" w:rsidR="00BD5DB9" w:rsidRPr="00D145F9" w:rsidRDefault="00BD5DB9">
      <w:pPr>
        <w:rPr>
          <w:rFonts w:ascii="Arial" w:hAnsi="Arial" w:cs="Arial"/>
          <w:sz w:val="24"/>
          <w:szCs w:val="24"/>
        </w:rPr>
      </w:pPr>
    </w:p>
    <w:p w14:paraId="272A7AAF" w14:textId="77777777" w:rsidR="004373B6" w:rsidRPr="00A32CB6" w:rsidRDefault="004373B6">
      <w:pPr>
        <w:rPr>
          <w:rFonts w:ascii="Arial" w:hAnsi="Arial" w:cs="Arial"/>
        </w:rPr>
      </w:pPr>
    </w:p>
    <w:p w14:paraId="5BEE7EA0" w14:textId="77777777" w:rsidR="00A32CB6" w:rsidRPr="00A32CB6" w:rsidRDefault="00A32CB6">
      <w:pPr>
        <w:rPr>
          <w:rFonts w:ascii="Arial" w:hAnsi="Arial" w:cs="Arial"/>
        </w:rPr>
      </w:pPr>
    </w:p>
    <w:sectPr w:rsidR="00A32CB6" w:rsidRPr="00A3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170"/>
    <w:multiLevelType w:val="hybridMultilevel"/>
    <w:tmpl w:val="A8A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6897"/>
    <w:multiLevelType w:val="hybridMultilevel"/>
    <w:tmpl w:val="D9F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3728F"/>
    <w:multiLevelType w:val="hybridMultilevel"/>
    <w:tmpl w:val="18E66DCA"/>
    <w:lvl w:ilvl="0" w:tplc="BBCE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9"/>
    <w:rsid w:val="000E379D"/>
    <w:rsid w:val="001E468A"/>
    <w:rsid w:val="00243D02"/>
    <w:rsid w:val="002B00D9"/>
    <w:rsid w:val="002D04AC"/>
    <w:rsid w:val="00347E83"/>
    <w:rsid w:val="003A6D13"/>
    <w:rsid w:val="00401C20"/>
    <w:rsid w:val="004373B6"/>
    <w:rsid w:val="004C7056"/>
    <w:rsid w:val="004D00B6"/>
    <w:rsid w:val="0050614C"/>
    <w:rsid w:val="006C7F2A"/>
    <w:rsid w:val="008135A9"/>
    <w:rsid w:val="00891852"/>
    <w:rsid w:val="00984280"/>
    <w:rsid w:val="009D444E"/>
    <w:rsid w:val="009D537E"/>
    <w:rsid w:val="00A32CB6"/>
    <w:rsid w:val="00A55ACF"/>
    <w:rsid w:val="00AF2C01"/>
    <w:rsid w:val="00BD5DB9"/>
    <w:rsid w:val="00CA363D"/>
    <w:rsid w:val="00D145F9"/>
    <w:rsid w:val="00DB5C65"/>
    <w:rsid w:val="00DE6CF1"/>
    <w:rsid w:val="00E22FD7"/>
    <w:rsid w:val="00E55DCA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25695"/>
  <w15:docId w15:val="{07701299-349C-4CDB-831C-6B1CF94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02"/>
    <w:rPr>
      <w:rFonts w:ascii="Segoe UI" w:hAnsi="Segoe UI" w:cs="Segoe UI"/>
      <w:sz w:val="18"/>
      <w:szCs w:val="18"/>
    </w:rPr>
  </w:style>
  <w:style w:type="character" w:customStyle="1" w:styleId="s5">
    <w:name w:val="s5"/>
    <w:basedOn w:val="DefaultParagraphFont"/>
    <w:rsid w:val="00E55DCA"/>
  </w:style>
  <w:style w:type="paragraph" w:styleId="NormalWeb">
    <w:name w:val="Normal (Web)"/>
    <w:basedOn w:val="Normal"/>
    <w:uiPriority w:val="99"/>
    <w:unhideWhenUsed/>
    <w:rsid w:val="00E55D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uiPriority w:val="99"/>
    <w:semiHidden/>
    <w:rsid w:val="00E55D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2C541-B696-403F-A3F0-885887679A63}"/>
</file>

<file path=customXml/itemProps2.xml><?xml version="1.0" encoding="utf-8"?>
<ds:datastoreItem xmlns:ds="http://schemas.openxmlformats.org/officeDocument/2006/customXml" ds:itemID="{DC4F5DD8-9547-49E8-A058-F2D6DAE4FF6B}"/>
</file>

<file path=customXml/itemProps3.xml><?xml version="1.0" encoding="utf-8"?>
<ds:datastoreItem xmlns:ds="http://schemas.openxmlformats.org/officeDocument/2006/customXml" ds:itemID="{3AD15DD1-F44F-4198-BB00-B05FDC393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Irakli Jgenti</dc:creator>
  <cp:keywords/>
  <dc:description/>
  <cp:lastModifiedBy>Irakli Jgenti</cp:lastModifiedBy>
  <cp:revision>4</cp:revision>
  <cp:lastPrinted>2016-10-31T16:51:00Z</cp:lastPrinted>
  <dcterms:created xsi:type="dcterms:W3CDTF">2019-05-14T16:24:00Z</dcterms:created>
  <dcterms:modified xsi:type="dcterms:W3CDTF">2019-05-14T16:25:00Z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