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UPR 33rd Session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(Geneva, 6-17 May 2019)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of Nicaragua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by Greece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Mr President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Greece welcomes the Delegation of Nicaragua to the UPR. We commend the country for its efforts to eradicate overall and extreme poverty, to increase access </w:t>
      </w:r>
      <w:r w:rsidDel="00000000" w:rsidR="00000000" w:rsidRPr="00000000">
        <w:rPr>
          <w:sz w:val="24"/>
          <w:szCs w:val="24"/>
          <w:rtl w:val="0"/>
        </w:rPr>
        <w:t xml:space="preserve">to water, sanitation, and electricity</w:t>
      </w:r>
      <w:r w:rsidDel="00000000" w:rsidR="00000000" w:rsidRPr="00000000">
        <w:rPr>
          <w:sz w:val="24"/>
          <w:szCs w:val="24"/>
          <w:rtl w:val="0"/>
        </w:rPr>
        <w:t xml:space="preserve"> as well as to incorporate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 gender perspective in its national policies</w:t>
      </w:r>
      <w:r w:rsidDel="00000000" w:rsidR="00000000" w:rsidRPr="00000000">
        <w:rPr>
          <w:sz w:val="24"/>
          <w:szCs w:val="24"/>
          <w:rtl w:val="0"/>
        </w:rPr>
        <w:t xml:space="preserve"> [</w:t>
      </w:r>
      <w:r w:rsidDel="00000000" w:rsidR="00000000" w:rsidRPr="00000000">
        <w:rPr>
          <w:i w:val="1"/>
          <w:sz w:val="24"/>
          <w:szCs w:val="24"/>
          <w:rtl w:val="0"/>
        </w:rPr>
        <w:t xml:space="preserve">ranked 5</w:t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sz w:val="24"/>
          <w:szCs w:val="24"/>
          <w:rtl w:val="0"/>
        </w:rPr>
        <w:t xml:space="preserve"> at the Global Gender Index of the World Economic Forum</w:t>
      </w:r>
      <w:r w:rsidDel="00000000" w:rsidR="00000000" w:rsidRPr="00000000">
        <w:rPr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Greece welcomes the continuation of the peace talks between the GRNU (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Government of Reconciliation and National Unity) and the opposition [by the mutually approved Plan of Action] and we encourage the Government to continue implementing all agreements so far as well as advance in the talks towards an overall consensus.   </w:t>
      </w:r>
    </w:p>
    <w:p w:rsidR="00000000" w:rsidDel="00000000" w:rsidP="00000000" w:rsidRDefault="00000000" w:rsidRPr="00000000" w14:paraId="0000000B">
      <w:pPr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Greece would like to recommend that Nicaragua: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Consider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ratification of human rights instruments to which it is not yet a party;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Guarantee the protection and promotion of freedom of expression and the independence and pluralism of the media;</w:t>
      </w:r>
    </w:p>
    <w:p w:rsidR="00000000" w:rsidDel="00000000" w:rsidP="00000000" w:rsidRDefault="00000000" w:rsidRPr="00000000" w14:paraId="00000011">
      <w:p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3. Continue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dialogue and take concrete steps towards an increased collaboration with the OHCHR (Office of the High Commissioner for Human Rights) and the special procedures mandate-holders</w:t>
      </w:r>
    </w:p>
    <w:p w:rsidR="00000000" w:rsidDel="00000000" w:rsidP="00000000" w:rsidRDefault="00000000" w:rsidRPr="00000000" w14:paraId="00000013">
      <w:pPr>
        <w:ind w:left="360"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360"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i w:val="1"/>
          <w:sz w:val="24"/>
          <w:szCs w:val="24"/>
          <w:rtl w:val="0"/>
        </w:rPr>
        <w:t xml:space="preserve">We would like wish to the Delegation of Nicaragua all success in implementing the recommendations they will receive today</w:t>
      </w:r>
      <w:r w:rsidDel="00000000" w:rsidR="00000000" w:rsidRPr="00000000">
        <w:rPr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B9D49-1617-4A9A-9828-C8FABD833015}"/>
</file>

<file path=customXml/itemProps2.xml><?xml version="1.0" encoding="utf-8"?>
<ds:datastoreItem xmlns:ds="http://schemas.openxmlformats.org/officeDocument/2006/customXml" ds:itemID="{6AD2B1C5-2DD1-4085-AA39-33BADDAD4D0C}"/>
</file>

<file path=customXml/itemProps3.xml><?xml version="1.0" encoding="utf-8"?>
<ds:datastoreItem xmlns:ds="http://schemas.openxmlformats.org/officeDocument/2006/customXml" ds:itemID="{EAAA2500-5965-4F18-969D-CF394724542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