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 UPR 33rd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Portugal</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ind w:firstLine="720"/>
        <w:jc w:val="both"/>
        <w:rPr>
          <w:color w:val="ff0000"/>
          <w:sz w:val="24"/>
          <w:szCs w:val="24"/>
        </w:rPr>
      </w:pPr>
      <w:r w:rsidDel="00000000" w:rsidR="00000000" w:rsidRPr="00000000">
        <w:rPr>
          <w:sz w:val="24"/>
          <w:szCs w:val="24"/>
          <w:rtl w:val="0"/>
        </w:rPr>
        <w:t xml:space="preserve">Greece welcomes the delegation of Portugal to the UPR. We commend Portugal for adopting several comprehensive Human Rights policy instruments, such as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and 4</w:t>
      </w:r>
      <w:r w:rsidDel="00000000" w:rsidR="00000000" w:rsidRPr="00000000">
        <w:rPr>
          <w:sz w:val="24"/>
          <w:szCs w:val="24"/>
          <w:vertAlign w:val="superscript"/>
          <w:rtl w:val="0"/>
        </w:rPr>
        <w:t xml:space="preserve">th</w:t>
      </w:r>
      <w:r w:rsidDel="00000000" w:rsidR="00000000" w:rsidRPr="00000000">
        <w:rPr>
          <w:sz w:val="24"/>
          <w:szCs w:val="24"/>
          <w:rtl w:val="0"/>
        </w:rPr>
        <w:t xml:space="preserve"> National Plans against Human Trafficking, the Strategic Plan for Migration and the National Strategy for Equality and Non-Discrimination “Portugal+Equal”. We also commend all efforts to mainstream HR throughout national administration as well as the active role in this regard of the PNHRC (Portuguese National Human Rights Committee). Greece appreciates Portugal’s active contribution to the management of the migratory and refugee situation in the European context, as well as its commitment to the EU Relocation Programme, as mentioned in its National Report.</w:t>
      </w:r>
      <w:r w:rsidDel="00000000" w:rsidR="00000000" w:rsidRPr="00000000">
        <w:rPr>
          <w:rtl w:val="0"/>
        </w:rPr>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Greece would like to recommend that Portugal:</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left="0" w:firstLine="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Continue efforts in the field of the identifying and protecting victims of trafficking in the asylum procedure;</w:t>
      </w:r>
    </w:p>
    <w:p w:rsidR="00000000" w:rsidDel="00000000" w:rsidP="00000000" w:rsidRDefault="00000000" w:rsidRPr="00000000" w14:paraId="0000000D">
      <w:pPr>
        <w:ind w:left="0" w:firstLine="0"/>
        <w:jc w:val="both"/>
        <w:rPr>
          <w:sz w:val="24"/>
          <w:szCs w:val="24"/>
        </w:rPr>
      </w:pPr>
      <w:r w:rsidDel="00000000" w:rsidR="00000000" w:rsidRPr="00000000">
        <w:rPr>
          <w:rtl w:val="0"/>
        </w:rPr>
      </w:r>
    </w:p>
    <w:p w:rsidR="00000000" w:rsidDel="00000000" w:rsidP="00000000" w:rsidRDefault="00000000" w:rsidRPr="00000000" w14:paraId="0000000E">
      <w:pPr>
        <w:ind w:left="28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  Further implement measures to eliminate discriminatory gender stereotypes;</w:t>
      </w:r>
    </w:p>
    <w:p w:rsidR="00000000" w:rsidDel="00000000" w:rsidP="00000000" w:rsidRDefault="00000000" w:rsidRPr="00000000" w14:paraId="0000000F">
      <w:pPr>
        <w:ind w:left="0" w:firstLine="0"/>
        <w:jc w:val="both"/>
        <w:rPr>
          <w:sz w:val="24"/>
          <w:szCs w:val="24"/>
        </w:rPr>
      </w:pPr>
      <w:r w:rsidDel="00000000" w:rsidR="00000000" w:rsidRPr="00000000">
        <w:rPr>
          <w:rtl w:val="0"/>
        </w:rPr>
      </w:r>
    </w:p>
    <w:p w:rsidR="00000000" w:rsidDel="00000000" w:rsidP="00000000" w:rsidRDefault="00000000" w:rsidRPr="00000000" w14:paraId="00000010">
      <w:pPr>
        <w:ind w:left="0" w:firstLine="0"/>
        <w:jc w:val="both"/>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Continue steps to combat and prevent domestic violence against women and children</w:t>
      </w:r>
    </w:p>
    <w:p w:rsidR="00000000" w:rsidDel="00000000" w:rsidP="00000000" w:rsidRDefault="00000000" w:rsidRPr="00000000" w14:paraId="00000011">
      <w:pPr>
        <w:ind w:left="360" w:firstLine="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left="360" w:firstLine="360"/>
        <w:jc w:val="both"/>
        <w:rPr>
          <w:sz w:val="24"/>
          <w:szCs w:val="24"/>
        </w:rPr>
      </w:pPr>
      <w:r w:rsidDel="00000000" w:rsidR="00000000" w:rsidRPr="00000000">
        <w:rPr>
          <w:sz w:val="24"/>
          <w:szCs w:val="24"/>
          <w:rtl w:val="0"/>
        </w:rPr>
        <w:t xml:space="preserve">We would like to seize this opportunity to wish to the Delegation of Portugal all success in implementing the recommendations they will receive today.</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08A38-D633-4286-9DAE-17919A7714B6}"/>
</file>

<file path=customXml/itemProps2.xml><?xml version="1.0" encoding="utf-8"?>
<ds:datastoreItem xmlns:ds="http://schemas.openxmlformats.org/officeDocument/2006/customXml" ds:itemID="{CA23CCA9-7550-4F0B-A65A-6367C2D621FD}"/>
</file>

<file path=customXml/itemProps3.xml><?xml version="1.0" encoding="utf-8"?>
<ds:datastoreItem xmlns:ds="http://schemas.openxmlformats.org/officeDocument/2006/customXml" ds:itemID="{7125AD7B-1090-4F7A-8515-D804DE41259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