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89" w:rsidRPr="000F017A" w:rsidRDefault="00AC2389" w:rsidP="00AC2389">
      <w:pPr>
        <w:spacing w:line="240" w:lineRule="auto"/>
        <w:jc w:val="center"/>
        <w:rPr>
          <w:rFonts w:eastAsia="Calibri" w:cs="Times New Roman"/>
          <w:b/>
          <w:bCs/>
          <w:sz w:val="24"/>
          <w:szCs w:val="24"/>
          <w:u w:val="single"/>
        </w:rPr>
      </w:pPr>
      <w:bookmarkStart w:id="0" w:name="_GoBack"/>
      <w:bookmarkEnd w:id="0"/>
      <w:r w:rsidRPr="000F017A">
        <w:rPr>
          <w:rFonts w:eastAsia="Calibri" w:cs="Times New Roman"/>
          <w:b/>
          <w:bCs/>
          <w:sz w:val="24"/>
          <w:szCs w:val="24"/>
          <w:u w:val="single"/>
        </w:rPr>
        <w:t>3</w:t>
      </w:r>
      <w:r>
        <w:rPr>
          <w:rFonts w:eastAsia="Calibri" w:cs="Times New Roman"/>
          <w:b/>
          <w:bCs/>
          <w:sz w:val="24"/>
          <w:szCs w:val="24"/>
          <w:u w:val="single"/>
        </w:rPr>
        <w:t>3</w:t>
      </w:r>
      <w:r w:rsidRPr="000F017A">
        <w:rPr>
          <w:rFonts w:eastAsia="Calibri" w:cs="Times New Roman"/>
          <w:b/>
          <w:bCs/>
          <w:sz w:val="24"/>
          <w:szCs w:val="24"/>
          <w:u w:val="single"/>
          <w:vertAlign w:val="superscript"/>
        </w:rPr>
        <w:t>ème</w:t>
      </w:r>
      <w:r w:rsidRPr="000F017A">
        <w:rPr>
          <w:rFonts w:eastAsia="Calibri" w:cs="Times New Roman"/>
          <w:b/>
          <w:bCs/>
          <w:sz w:val="24"/>
          <w:szCs w:val="24"/>
          <w:u w:val="single"/>
        </w:rPr>
        <w:t xml:space="preserve"> session du Groupe de travail de l’Examen périodique universel</w:t>
      </w:r>
    </w:p>
    <w:p w:rsidR="00AC2389" w:rsidRPr="000F017A" w:rsidRDefault="00AC2389" w:rsidP="00AC2389">
      <w:pPr>
        <w:spacing w:line="240" w:lineRule="auto"/>
        <w:jc w:val="center"/>
        <w:rPr>
          <w:rFonts w:eastAsia="Calibri" w:cs="Times New Roman"/>
          <w:b/>
          <w:bCs/>
          <w:sz w:val="24"/>
          <w:szCs w:val="24"/>
        </w:rPr>
      </w:pPr>
      <w:r w:rsidRPr="000F017A">
        <w:rPr>
          <w:rFonts w:eastAsia="Calibri" w:cs="Times New Roman"/>
          <w:b/>
          <w:bCs/>
          <w:sz w:val="24"/>
          <w:szCs w:val="24"/>
        </w:rPr>
        <w:t>(</w:t>
      </w:r>
      <w:r>
        <w:rPr>
          <w:rFonts w:eastAsia="Calibri" w:cs="Times New Roman"/>
          <w:b/>
          <w:bCs/>
          <w:sz w:val="24"/>
          <w:szCs w:val="24"/>
        </w:rPr>
        <w:t>6-17 mai</w:t>
      </w:r>
      <w:r w:rsidRPr="000F017A">
        <w:rPr>
          <w:rFonts w:eastAsia="Calibri" w:cs="Times New Roman"/>
          <w:b/>
          <w:bCs/>
          <w:sz w:val="24"/>
          <w:szCs w:val="24"/>
        </w:rPr>
        <w:t xml:space="preserve"> 2019)</w:t>
      </w:r>
    </w:p>
    <w:p w:rsidR="00AC2389" w:rsidRPr="000F017A" w:rsidRDefault="00AC2389" w:rsidP="00AC2389">
      <w:pPr>
        <w:spacing w:line="240" w:lineRule="auto"/>
        <w:jc w:val="center"/>
        <w:rPr>
          <w:rFonts w:eastAsia="Calibri" w:cs="Times New Roman"/>
          <w:b/>
          <w:bCs/>
          <w:sz w:val="24"/>
          <w:szCs w:val="24"/>
        </w:rPr>
      </w:pPr>
    </w:p>
    <w:p w:rsidR="00AC2389" w:rsidRPr="000F017A" w:rsidRDefault="00070701" w:rsidP="00AC2389">
      <w:pPr>
        <w:spacing w:line="240" w:lineRule="auto"/>
        <w:jc w:val="center"/>
        <w:rPr>
          <w:rFonts w:eastAsia="Calibri" w:cs="Times New Roman"/>
          <w:b/>
          <w:bCs/>
          <w:sz w:val="24"/>
          <w:szCs w:val="24"/>
        </w:rPr>
      </w:pPr>
      <w:r>
        <w:rPr>
          <w:rFonts w:eastAsia="Calibri" w:cs="Times New Roman"/>
          <w:b/>
          <w:bCs/>
          <w:sz w:val="24"/>
          <w:szCs w:val="24"/>
          <w:u w:val="single"/>
        </w:rPr>
        <w:t>Brunei Darussalam</w:t>
      </w:r>
    </w:p>
    <w:p w:rsidR="00AC2389" w:rsidRPr="000F017A" w:rsidRDefault="00AC2389" w:rsidP="00AC2389">
      <w:pPr>
        <w:spacing w:line="240" w:lineRule="auto"/>
        <w:jc w:val="center"/>
        <w:rPr>
          <w:rFonts w:eastAsia="Calibri" w:cs="Times New Roman"/>
          <w:b/>
          <w:bCs/>
          <w:sz w:val="24"/>
          <w:szCs w:val="24"/>
        </w:rPr>
      </w:pPr>
      <w:r w:rsidRPr="000F017A">
        <w:rPr>
          <w:rFonts w:eastAsia="Calibri" w:cs="Times New Roman"/>
          <w:b/>
          <w:bCs/>
          <w:sz w:val="24"/>
          <w:szCs w:val="24"/>
        </w:rPr>
        <w:t>Intervention d</w:t>
      </w:r>
      <w:r w:rsidR="00E329AA">
        <w:rPr>
          <w:rFonts w:eastAsia="Calibri" w:cs="Times New Roman"/>
          <w:b/>
          <w:bCs/>
          <w:sz w:val="24"/>
          <w:szCs w:val="24"/>
        </w:rPr>
        <w:t xml:space="preserve">e la </w:t>
      </w:r>
      <w:r w:rsidRPr="000F017A">
        <w:rPr>
          <w:rFonts w:eastAsia="Calibri" w:cs="Times New Roman"/>
          <w:b/>
          <w:bCs/>
          <w:sz w:val="24"/>
          <w:szCs w:val="24"/>
        </w:rPr>
        <w:t>France</w:t>
      </w:r>
    </w:p>
    <w:p w:rsidR="00AC2389" w:rsidRPr="000F017A" w:rsidRDefault="00AC2389" w:rsidP="00AC2389">
      <w:pPr>
        <w:spacing w:line="240" w:lineRule="auto"/>
        <w:jc w:val="center"/>
        <w:rPr>
          <w:rFonts w:eastAsia="Calibri" w:cs="Times New Roman"/>
          <w:sz w:val="24"/>
          <w:szCs w:val="24"/>
        </w:rPr>
      </w:pPr>
      <w:r w:rsidRPr="000F017A">
        <w:rPr>
          <w:rFonts w:eastAsia="Calibri" w:cs="Times New Roman"/>
          <w:sz w:val="24"/>
          <w:szCs w:val="24"/>
        </w:rPr>
        <w:t xml:space="preserve">Genève, le </w:t>
      </w:r>
      <w:r w:rsidR="00070701">
        <w:rPr>
          <w:rFonts w:eastAsia="Calibri" w:cs="Times New Roman"/>
          <w:sz w:val="24"/>
          <w:szCs w:val="24"/>
        </w:rPr>
        <w:t xml:space="preserve">vendredi 10 </w:t>
      </w:r>
      <w:r>
        <w:rPr>
          <w:rFonts w:eastAsia="Calibri" w:cs="Times New Roman"/>
          <w:sz w:val="24"/>
          <w:szCs w:val="24"/>
        </w:rPr>
        <w:t>mai</w:t>
      </w:r>
      <w:r w:rsidRPr="000F017A">
        <w:rPr>
          <w:rFonts w:eastAsia="Calibri" w:cs="Times New Roman"/>
          <w:sz w:val="24"/>
          <w:szCs w:val="24"/>
        </w:rPr>
        <w:t xml:space="preserve"> 2019  (</w:t>
      </w:r>
      <w:r>
        <w:rPr>
          <w:rFonts w:eastAsia="Calibri" w:cs="Times New Roman"/>
          <w:sz w:val="24"/>
          <w:szCs w:val="24"/>
        </w:rPr>
        <w:t>matin</w:t>
      </w:r>
      <w:r w:rsidRPr="000F017A">
        <w:rPr>
          <w:rFonts w:eastAsia="Calibri" w:cs="Times New Roman"/>
          <w:sz w:val="24"/>
          <w:szCs w:val="24"/>
        </w:rPr>
        <w:t>)</w:t>
      </w:r>
    </w:p>
    <w:p w:rsidR="00AC2389" w:rsidRPr="000F017A" w:rsidRDefault="00AC2389" w:rsidP="00AC2389">
      <w:pPr>
        <w:spacing w:after="0" w:line="240" w:lineRule="auto"/>
        <w:jc w:val="both"/>
        <w:rPr>
          <w:sz w:val="24"/>
          <w:szCs w:val="24"/>
        </w:rPr>
      </w:pPr>
    </w:p>
    <w:p w:rsidR="00AC2389" w:rsidRDefault="00AC2389" w:rsidP="00AC2389">
      <w:pPr>
        <w:spacing w:after="0" w:line="240" w:lineRule="auto"/>
        <w:jc w:val="both"/>
      </w:pPr>
    </w:p>
    <w:p w:rsidR="00AC2389" w:rsidRPr="009A117F" w:rsidRDefault="00AC2389" w:rsidP="00AC2389">
      <w:pPr>
        <w:spacing w:after="0" w:line="240" w:lineRule="auto"/>
        <w:jc w:val="both"/>
        <w:rPr>
          <w:sz w:val="24"/>
          <w:szCs w:val="24"/>
        </w:rPr>
      </w:pPr>
      <w:r w:rsidRPr="009A117F">
        <w:rPr>
          <w:sz w:val="24"/>
          <w:szCs w:val="24"/>
        </w:rPr>
        <w:t xml:space="preserve">Merci Monsieur le </w:t>
      </w:r>
      <w:r w:rsidR="00070701">
        <w:rPr>
          <w:sz w:val="24"/>
          <w:szCs w:val="24"/>
        </w:rPr>
        <w:t xml:space="preserve">Vice- </w:t>
      </w:r>
      <w:r w:rsidRPr="009A117F">
        <w:rPr>
          <w:sz w:val="24"/>
          <w:szCs w:val="24"/>
        </w:rPr>
        <w:t>Président</w:t>
      </w:r>
    </w:p>
    <w:p w:rsidR="00AC2389" w:rsidRPr="009A117F" w:rsidRDefault="00AC2389" w:rsidP="00AC2389">
      <w:pPr>
        <w:spacing w:after="0" w:line="240" w:lineRule="auto"/>
        <w:jc w:val="both"/>
        <w:rPr>
          <w:sz w:val="24"/>
          <w:szCs w:val="24"/>
        </w:rPr>
      </w:pPr>
    </w:p>
    <w:p w:rsidR="00AC2389" w:rsidRPr="009A117F" w:rsidRDefault="00AC2389" w:rsidP="00AC2389">
      <w:pPr>
        <w:spacing w:after="0" w:line="240" w:lineRule="auto"/>
        <w:jc w:val="both"/>
        <w:rPr>
          <w:sz w:val="24"/>
          <w:szCs w:val="24"/>
        </w:rPr>
      </w:pPr>
      <w:r w:rsidRPr="009A117F">
        <w:rPr>
          <w:sz w:val="24"/>
          <w:szCs w:val="24"/>
        </w:rPr>
        <w:t xml:space="preserve">Je remercie la délégation </w:t>
      </w:r>
      <w:r w:rsidR="00070701">
        <w:rPr>
          <w:sz w:val="24"/>
          <w:szCs w:val="24"/>
        </w:rPr>
        <w:t>du Brunei Darussalam</w:t>
      </w:r>
      <w:r w:rsidRPr="009A117F">
        <w:rPr>
          <w:sz w:val="24"/>
          <w:szCs w:val="24"/>
        </w:rPr>
        <w:t xml:space="preserve"> pour la présentation de son rapport.</w:t>
      </w:r>
    </w:p>
    <w:p w:rsidR="00AC2389" w:rsidRPr="009A117F" w:rsidRDefault="00AC2389" w:rsidP="00AC2389">
      <w:pPr>
        <w:spacing w:after="0" w:line="240" w:lineRule="auto"/>
        <w:jc w:val="both"/>
        <w:rPr>
          <w:sz w:val="24"/>
          <w:szCs w:val="24"/>
        </w:rPr>
      </w:pPr>
    </w:p>
    <w:p w:rsidR="00070701" w:rsidRDefault="00070701" w:rsidP="00070701">
      <w:pPr>
        <w:spacing w:after="0" w:line="240" w:lineRule="auto"/>
        <w:jc w:val="both"/>
        <w:rPr>
          <w:bCs/>
          <w:sz w:val="24"/>
          <w:szCs w:val="24"/>
        </w:rPr>
      </w:pPr>
      <w:r w:rsidRPr="00070701">
        <w:rPr>
          <w:bCs/>
          <w:sz w:val="24"/>
          <w:szCs w:val="24"/>
        </w:rPr>
        <w:t>La France est particulièrement préoccupée par l’entrée</w:t>
      </w:r>
      <w:r w:rsidR="001C4953">
        <w:rPr>
          <w:bCs/>
          <w:sz w:val="24"/>
          <w:szCs w:val="24"/>
        </w:rPr>
        <w:t xml:space="preserve"> en vigueur</w:t>
      </w:r>
      <w:r w:rsidRPr="00070701">
        <w:rPr>
          <w:bCs/>
          <w:sz w:val="24"/>
          <w:szCs w:val="24"/>
        </w:rPr>
        <w:t>, le 3 avril, du code pénal révisé qui, s'il est appliqué dans sa forme actuelle, consacrera dans la législation des peines cruelles et inhumaines contraire</w:t>
      </w:r>
      <w:r w:rsidR="001C4953">
        <w:rPr>
          <w:bCs/>
          <w:sz w:val="24"/>
          <w:szCs w:val="24"/>
        </w:rPr>
        <w:t>s</w:t>
      </w:r>
      <w:r w:rsidRPr="00070701">
        <w:rPr>
          <w:bCs/>
          <w:sz w:val="24"/>
          <w:szCs w:val="24"/>
        </w:rPr>
        <w:t xml:space="preserve"> au droit international des droits de l’Homme et aux engagements internationaux du Brunei. </w:t>
      </w:r>
    </w:p>
    <w:p w:rsidR="00070701" w:rsidRDefault="00070701" w:rsidP="00070701">
      <w:pPr>
        <w:spacing w:after="0" w:line="240" w:lineRule="auto"/>
        <w:jc w:val="both"/>
        <w:rPr>
          <w:bCs/>
          <w:sz w:val="24"/>
          <w:szCs w:val="24"/>
        </w:rPr>
      </w:pPr>
    </w:p>
    <w:p w:rsidR="00070701" w:rsidRDefault="00070701" w:rsidP="00070701">
      <w:pPr>
        <w:spacing w:after="0" w:line="240" w:lineRule="auto"/>
        <w:jc w:val="both"/>
        <w:rPr>
          <w:bCs/>
          <w:sz w:val="24"/>
          <w:szCs w:val="24"/>
        </w:rPr>
      </w:pPr>
      <w:r w:rsidRPr="00070701">
        <w:rPr>
          <w:bCs/>
          <w:sz w:val="24"/>
          <w:szCs w:val="24"/>
        </w:rPr>
        <w:t>Dans ce contexte, la France adresse les recommandations suivantes au Brunei Darussalam:</w:t>
      </w:r>
    </w:p>
    <w:p w:rsidR="00070701" w:rsidRPr="00070701" w:rsidRDefault="00070701" w:rsidP="00070701">
      <w:pPr>
        <w:spacing w:after="0" w:line="240" w:lineRule="auto"/>
        <w:jc w:val="both"/>
        <w:rPr>
          <w:bCs/>
          <w:sz w:val="24"/>
          <w:szCs w:val="24"/>
        </w:rPr>
      </w:pPr>
    </w:p>
    <w:p w:rsidR="00070701" w:rsidRDefault="00070701" w:rsidP="00070701">
      <w:pPr>
        <w:numPr>
          <w:ilvl w:val="0"/>
          <w:numId w:val="2"/>
        </w:numPr>
        <w:spacing w:after="0" w:line="240" w:lineRule="auto"/>
        <w:jc w:val="both"/>
        <w:rPr>
          <w:sz w:val="24"/>
          <w:szCs w:val="24"/>
        </w:rPr>
      </w:pPr>
      <w:r w:rsidRPr="00070701">
        <w:rPr>
          <w:bCs/>
          <w:sz w:val="24"/>
          <w:szCs w:val="24"/>
        </w:rPr>
        <w:t xml:space="preserve">annuler les dispositions du nouveau </w:t>
      </w:r>
      <w:r w:rsidRPr="00070701">
        <w:rPr>
          <w:sz w:val="24"/>
          <w:szCs w:val="24"/>
        </w:rPr>
        <w:t>code pénal prévoyant des châtiments corporels et la peine de mort pour plusieurs incriminations, dont l’adultère, l’homosexualité, l’apostasie ou le blasphème, contraires aux engagements internationaux pris librement par le Brunei Darussalam en matière de droits de l’Homme ;</w:t>
      </w:r>
    </w:p>
    <w:p w:rsidR="00070701" w:rsidRPr="00070701" w:rsidRDefault="00070701" w:rsidP="00070701">
      <w:pPr>
        <w:spacing w:after="0" w:line="240" w:lineRule="auto"/>
        <w:ind w:left="360"/>
        <w:jc w:val="both"/>
        <w:rPr>
          <w:sz w:val="24"/>
          <w:szCs w:val="24"/>
        </w:rPr>
      </w:pPr>
    </w:p>
    <w:p w:rsidR="00070701" w:rsidRPr="00070701" w:rsidRDefault="00070701" w:rsidP="00070701">
      <w:pPr>
        <w:numPr>
          <w:ilvl w:val="0"/>
          <w:numId w:val="2"/>
        </w:numPr>
        <w:spacing w:after="0" w:line="240" w:lineRule="auto"/>
        <w:jc w:val="both"/>
        <w:rPr>
          <w:sz w:val="24"/>
          <w:szCs w:val="24"/>
        </w:rPr>
      </w:pPr>
      <w:r w:rsidRPr="00070701">
        <w:rPr>
          <w:iCs/>
          <w:sz w:val="24"/>
          <w:szCs w:val="24"/>
        </w:rPr>
        <w:t xml:space="preserve">maintenir son moratoire sur la peine de mort en vue d’abolir la peine de mort ; </w:t>
      </w:r>
    </w:p>
    <w:p w:rsidR="00070701" w:rsidRDefault="00070701" w:rsidP="00070701">
      <w:pPr>
        <w:pStyle w:val="Paragraphedeliste"/>
        <w:rPr>
          <w:sz w:val="24"/>
          <w:szCs w:val="24"/>
        </w:rPr>
      </w:pPr>
    </w:p>
    <w:p w:rsidR="00070701" w:rsidRPr="00070701" w:rsidRDefault="00070701" w:rsidP="00070701">
      <w:pPr>
        <w:numPr>
          <w:ilvl w:val="0"/>
          <w:numId w:val="2"/>
        </w:numPr>
        <w:spacing w:after="0" w:line="240" w:lineRule="auto"/>
        <w:jc w:val="both"/>
        <w:rPr>
          <w:sz w:val="24"/>
          <w:szCs w:val="24"/>
        </w:rPr>
      </w:pPr>
      <w:r w:rsidRPr="00070701">
        <w:rPr>
          <w:iCs/>
          <w:sz w:val="24"/>
          <w:szCs w:val="24"/>
        </w:rPr>
        <w:t>respecter le principe fondamental d’égalité femmes-homme</w:t>
      </w:r>
      <w:r w:rsidR="001C4953">
        <w:rPr>
          <w:iCs/>
          <w:sz w:val="24"/>
          <w:szCs w:val="24"/>
        </w:rPr>
        <w:t>s</w:t>
      </w:r>
      <w:r w:rsidRPr="00070701">
        <w:rPr>
          <w:iCs/>
          <w:sz w:val="24"/>
          <w:szCs w:val="24"/>
        </w:rPr>
        <w:t xml:space="preserve">, notamment en permettant aux femmes brunéiennes de transmettre leur nationalité à leurs enfants et en supprimant les réserves à l'article 9 de la CEDEF ; </w:t>
      </w:r>
    </w:p>
    <w:p w:rsidR="00070701" w:rsidRDefault="00070701" w:rsidP="00070701">
      <w:pPr>
        <w:pStyle w:val="Paragraphedeliste"/>
        <w:rPr>
          <w:sz w:val="24"/>
          <w:szCs w:val="24"/>
        </w:rPr>
      </w:pPr>
    </w:p>
    <w:p w:rsidR="00070701" w:rsidRDefault="00070701" w:rsidP="00070701">
      <w:pPr>
        <w:numPr>
          <w:ilvl w:val="0"/>
          <w:numId w:val="2"/>
        </w:numPr>
        <w:spacing w:after="0" w:line="240" w:lineRule="auto"/>
        <w:jc w:val="both"/>
        <w:rPr>
          <w:sz w:val="24"/>
          <w:szCs w:val="24"/>
        </w:rPr>
      </w:pPr>
      <w:r w:rsidRPr="00070701">
        <w:rPr>
          <w:iCs/>
          <w:sz w:val="24"/>
          <w:szCs w:val="24"/>
        </w:rPr>
        <w:t>lever l’état d’urgence, reconduit systématiquement depuis 1962, qui restreint</w:t>
      </w:r>
      <w:r w:rsidRPr="00070701">
        <w:rPr>
          <w:sz w:val="24"/>
          <w:szCs w:val="24"/>
        </w:rPr>
        <w:t xml:space="preserve"> les libertés fondamentales, telles </w:t>
      </w:r>
      <w:r w:rsidR="001C4953">
        <w:rPr>
          <w:sz w:val="24"/>
          <w:szCs w:val="24"/>
        </w:rPr>
        <w:t xml:space="preserve">que </w:t>
      </w:r>
      <w:r w:rsidRPr="00070701">
        <w:rPr>
          <w:sz w:val="24"/>
          <w:szCs w:val="24"/>
        </w:rPr>
        <w:t>la liberté d’expression, la liberté de la presse, la liberté de réunion ou la liberté d’association ;</w:t>
      </w:r>
    </w:p>
    <w:p w:rsidR="00070701" w:rsidRDefault="00070701" w:rsidP="00070701">
      <w:pPr>
        <w:pStyle w:val="Paragraphedeliste"/>
        <w:rPr>
          <w:sz w:val="24"/>
          <w:szCs w:val="24"/>
        </w:rPr>
      </w:pPr>
    </w:p>
    <w:p w:rsidR="00070701" w:rsidRPr="00070701" w:rsidRDefault="00070701" w:rsidP="00070701">
      <w:pPr>
        <w:numPr>
          <w:ilvl w:val="0"/>
          <w:numId w:val="2"/>
        </w:numPr>
        <w:spacing w:after="0" w:line="240" w:lineRule="auto"/>
        <w:jc w:val="both"/>
        <w:rPr>
          <w:sz w:val="24"/>
          <w:szCs w:val="24"/>
        </w:rPr>
      </w:pPr>
      <w:r w:rsidRPr="00070701">
        <w:rPr>
          <w:iCs/>
          <w:sz w:val="24"/>
          <w:szCs w:val="24"/>
        </w:rPr>
        <w:t xml:space="preserve">ratifier la Convention contre la torture et autres peines ou traitements cruels, inhumains ou dégradants, signée en 2015, </w:t>
      </w:r>
      <w:r w:rsidR="001C4953">
        <w:rPr>
          <w:iCs/>
          <w:sz w:val="24"/>
          <w:szCs w:val="24"/>
        </w:rPr>
        <w:t xml:space="preserve">ainsi que </w:t>
      </w:r>
      <w:r w:rsidRPr="00070701">
        <w:rPr>
          <w:iCs/>
          <w:sz w:val="24"/>
          <w:szCs w:val="24"/>
        </w:rPr>
        <w:t>le Pacte international sur les droits civils et politiques et le Pacte international sur les droits économiques, sociaux et culturels. </w:t>
      </w:r>
    </w:p>
    <w:p w:rsidR="00070701" w:rsidRDefault="00070701" w:rsidP="00AC2389">
      <w:pPr>
        <w:spacing w:after="0" w:line="240" w:lineRule="auto"/>
        <w:jc w:val="both"/>
        <w:rPr>
          <w:sz w:val="24"/>
          <w:szCs w:val="24"/>
        </w:rPr>
      </w:pPr>
    </w:p>
    <w:p w:rsidR="00160566" w:rsidRDefault="00AC2389" w:rsidP="00070701">
      <w:pPr>
        <w:spacing w:after="0" w:line="240" w:lineRule="auto"/>
        <w:jc w:val="both"/>
      </w:pPr>
      <w:r w:rsidRPr="009A117F">
        <w:rPr>
          <w:bCs/>
          <w:sz w:val="24"/>
          <w:szCs w:val="24"/>
        </w:rPr>
        <w:t xml:space="preserve">La France souhaite un plein succès </w:t>
      </w:r>
      <w:r w:rsidR="00070701">
        <w:rPr>
          <w:bCs/>
          <w:sz w:val="24"/>
          <w:szCs w:val="24"/>
        </w:rPr>
        <w:t>au Brunei</w:t>
      </w:r>
      <w:r w:rsidRPr="009A117F">
        <w:rPr>
          <w:bCs/>
          <w:sz w:val="24"/>
          <w:szCs w:val="24"/>
        </w:rPr>
        <w:t xml:space="preserve"> pour cet EPU./. </w:t>
      </w:r>
    </w:p>
    <w:sectPr w:rsidR="00160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2CEE"/>
    <w:multiLevelType w:val="hybridMultilevel"/>
    <w:tmpl w:val="E8CC63F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645094"/>
    <w:multiLevelType w:val="hybridMultilevel"/>
    <w:tmpl w:val="E5966828"/>
    <w:lvl w:ilvl="0" w:tplc="040C0011">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89"/>
    <w:rsid w:val="00070701"/>
    <w:rsid w:val="00160566"/>
    <w:rsid w:val="001C4953"/>
    <w:rsid w:val="0051564B"/>
    <w:rsid w:val="009A117F"/>
    <w:rsid w:val="00A2331D"/>
    <w:rsid w:val="00AC2389"/>
    <w:rsid w:val="00E329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3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23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3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2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7A975-A0B8-466D-A3B6-5E3041827951}"/>
</file>

<file path=customXml/itemProps2.xml><?xml version="1.0" encoding="utf-8"?>
<ds:datastoreItem xmlns:ds="http://schemas.openxmlformats.org/officeDocument/2006/customXml" ds:itemID="{95E0C2AC-5F8A-4BE8-A7A4-9F3FF67A4A10}"/>
</file>

<file path=customXml/itemProps3.xml><?xml version="1.0" encoding="utf-8"?>
<ds:datastoreItem xmlns:ds="http://schemas.openxmlformats.org/officeDocument/2006/customXml" ds:itemID="{108AD799-8B69-4EA4-96B3-D5970C368BEA}"/>
</file>

<file path=customXml/itemProps4.xml><?xml version="1.0" encoding="utf-8"?>
<ds:datastoreItem xmlns:ds="http://schemas.openxmlformats.org/officeDocument/2006/customXml" ds:itemID="{60250C9F-E465-4BD2-B2C0-5F175113F67F}"/>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1571</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GERARDIN Clarisse</dc:creator>
  <cp:lastModifiedBy>ARTIS Tamarie</cp:lastModifiedBy>
  <cp:revision>2</cp:revision>
  <dcterms:created xsi:type="dcterms:W3CDTF">2019-05-10T08:19:00Z</dcterms:created>
  <dcterms:modified xsi:type="dcterms:W3CDTF">2019-05-10T08:19:00Z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