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1922DF">
      <w:pPr>
        <w:shd w:val="clear" w:color="auto" w:fill="FFFFFF"/>
        <w:jc w:val="right"/>
        <w:rPr>
          <w:i/>
          <w:color w:val="000000"/>
          <w:lang w:val="fr-FR"/>
        </w:rPr>
      </w:pPr>
      <w:r w:rsidRPr="00D52C92">
        <w:rPr>
          <w:i/>
          <w:color w:val="000000"/>
          <w:lang w:val="fr-FR"/>
        </w:rPr>
        <w:t>Vérifier au prononcé</w:t>
      </w:r>
    </w:p>
    <w:p w:rsidR="00F46DA7" w:rsidRDefault="00F46DA7" w:rsidP="001922DF">
      <w:pPr>
        <w:shd w:val="clear" w:color="auto" w:fill="FFFFFF"/>
        <w:jc w:val="center"/>
        <w:rPr>
          <w:b/>
          <w:color w:val="000000"/>
          <w:u w:val="single"/>
          <w:lang w:val="fr-FR"/>
        </w:rPr>
      </w:pPr>
      <w:r w:rsidRPr="00F46DA7">
        <w:rPr>
          <w:b/>
          <w:color w:val="000000"/>
          <w:u w:val="single"/>
          <w:lang w:val="fr-FR"/>
        </w:rPr>
        <w:t>3</w:t>
      </w:r>
      <w:r w:rsidR="001922DF">
        <w:rPr>
          <w:b/>
          <w:color w:val="000000"/>
          <w:u w:val="single"/>
          <w:lang w:val="fr-FR"/>
        </w:rPr>
        <w:t>3</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1922DF" w:rsidRPr="00F46DA7" w:rsidRDefault="001922DF" w:rsidP="001922DF">
      <w:pPr>
        <w:shd w:val="clear" w:color="auto" w:fill="FFFFFF"/>
        <w:jc w:val="center"/>
        <w:rPr>
          <w:b/>
          <w:color w:val="000000"/>
          <w:u w:val="single"/>
          <w:lang w:val="fr-FR"/>
        </w:rPr>
      </w:pPr>
    </w:p>
    <w:p w:rsidR="005519A1" w:rsidRDefault="00F46DA7" w:rsidP="001922DF">
      <w:pPr>
        <w:shd w:val="clear" w:color="auto" w:fill="FFFFFF"/>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6D28C9">
        <w:rPr>
          <w:b/>
          <w:color w:val="000000"/>
          <w:u w:val="single"/>
          <w:lang w:val="fr-FR"/>
        </w:rPr>
        <w:t>du Portugal</w:t>
      </w:r>
    </w:p>
    <w:p w:rsidR="005519A1" w:rsidRDefault="005519A1" w:rsidP="001922DF">
      <w:pPr>
        <w:shd w:val="clear" w:color="auto" w:fill="FFFFFF"/>
        <w:jc w:val="center"/>
        <w:rPr>
          <w:b/>
          <w:color w:val="000000"/>
          <w:u w:val="single"/>
          <w:lang w:val="fr-FR"/>
        </w:rPr>
      </w:pPr>
    </w:p>
    <w:p w:rsidR="00BB7951" w:rsidRDefault="006D28C9" w:rsidP="001922DF">
      <w:pPr>
        <w:shd w:val="clear" w:color="auto" w:fill="FFFFFF"/>
        <w:jc w:val="center"/>
        <w:rPr>
          <w:b/>
          <w:color w:val="000000"/>
          <w:u w:val="single"/>
          <w:lang w:val="fr-FR"/>
        </w:rPr>
      </w:pPr>
      <w:r>
        <w:rPr>
          <w:b/>
          <w:color w:val="000000"/>
          <w:u w:val="single"/>
          <w:lang w:val="fr-FR"/>
        </w:rPr>
        <w:t>8</w:t>
      </w:r>
      <w:r w:rsidR="001922DF">
        <w:rPr>
          <w:b/>
          <w:color w:val="000000"/>
          <w:u w:val="single"/>
          <w:lang w:val="fr-FR"/>
        </w:rPr>
        <w:t xml:space="preserve"> mai</w:t>
      </w:r>
      <w:r w:rsidR="00BB7951">
        <w:rPr>
          <w:b/>
          <w:color w:val="000000"/>
          <w:u w:val="single"/>
          <w:lang w:val="fr-FR"/>
        </w:rPr>
        <w:t xml:space="preserve"> 2019</w:t>
      </w:r>
    </w:p>
    <w:p w:rsidR="001922DF" w:rsidRDefault="001922DF" w:rsidP="001922DF">
      <w:pPr>
        <w:shd w:val="clear" w:color="auto" w:fill="FFFFFF"/>
        <w:jc w:val="center"/>
        <w:rPr>
          <w:b/>
          <w:color w:val="000000"/>
          <w:u w:val="single"/>
          <w:lang w:val="fr-FR"/>
        </w:rPr>
      </w:pPr>
    </w:p>
    <w:p w:rsidR="00BB7951" w:rsidRPr="00BB7951" w:rsidRDefault="00BB7951" w:rsidP="001922DF">
      <w:pPr>
        <w:shd w:val="clear" w:color="auto" w:fill="FFFFFF"/>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1922DF">
      <w:pPr>
        <w:shd w:val="clear" w:color="auto" w:fill="FFFFFF"/>
        <w:jc w:val="center"/>
        <w:rPr>
          <w:b/>
          <w:color w:val="000000"/>
          <w:u w:val="single"/>
          <w:lang w:val="fr-FR"/>
        </w:rPr>
      </w:pPr>
      <w:r w:rsidRPr="00BB7951">
        <w:rPr>
          <w:b/>
          <w:color w:val="000000"/>
          <w:u w:val="single"/>
          <w:lang w:val="fr-FR"/>
        </w:rPr>
        <w:t>Conseiller</w:t>
      </w:r>
    </w:p>
    <w:p w:rsidR="00570737" w:rsidRPr="001922DF" w:rsidRDefault="00570737" w:rsidP="00570737">
      <w:pPr>
        <w:shd w:val="clear" w:color="auto" w:fill="FFFFFF"/>
        <w:jc w:val="both"/>
        <w:rPr>
          <w:b/>
          <w:color w:val="000000"/>
          <w:lang w:val="fr-FR" w:eastAsia="fr-CH"/>
        </w:rPr>
      </w:pPr>
    </w:p>
    <w:p w:rsidR="00991DE5" w:rsidRDefault="00991DE5" w:rsidP="00991DE5">
      <w:pPr>
        <w:shd w:val="clear" w:color="auto" w:fill="FFFFFF"/>
        <w:jc w:val="both"/>
        <w:rPr>
          <w:b/>
          <w:color w:val="000000"/>
          <w:lang w:val="fr-FR" w:eastAsia="fr-CH"/>
        </w:rPr>
      </w:pPr>
      <w:r w:rsidRPr="00991DE5">
        <w:rPr>
          <w:b/>
          <w:color w:val="000000"/>
          <w:lang w:val="fr-FR" w:eastAsia="fr-CH"/>
        </w:rPr>
        <w:t>Merci Madame la Vice-présidente,</w:t>
      </w:r>
    </w:p>
    <w:p w:rsidR="00991DE5" w:rsidRPr="00991DE5" w:rsidRDefault="00991DE5" w:rsidP="00991DE5">
      <w:pPr>
        <w:shd w:val="clear" w:color="auto" w:fill="FFFFFF"/>
        <w:jc w:val="both"/>
        <w:rPr>
          <w:color w:val="000000"/>
          <w:lang w:val="fr-FR" w:eastAsia="fr-CH"/>
        </w:rPr>
      </w:pPr>
    </w:p>
    <w:p w:rsidR="00991DE5" w:rsidRPr="00991DE5" w:rsidRDefault="00991DE5" w:rsidP="00991DE5">
      <w:pPr>
        <w:jc w:val="both"/>
        <w:rPr>
          <w:lang w:val="fr-CH"/>
        </w:rPr>
      </w:pPr>
      <w:r w:rsidRPr="00991DE5">
        <w:rPr>
          <w:color w:val="000000"/>
          <w:lang w:val="fr-FR" w:eastAsia="fr-CH"/>
        </w:rPr>
        <w:t>Djibouti souhaite la bienvenue à la délégation de Haut niveau du Portugal et la remercie pour la présentation détaillée de son Rapport national.</w:t>
      </w:r>
    </w:p>
    <w:p w:rsidR="00991DE5" w:rsidRPr="00991DE5" w:rsidRDefault="00991DE5" w:rsidP="00991DE5">
      <w:pPr>
        <w:jc w:val="both"/>
        <w:rPr>
          <w:lang w:val="fr-CH"/>
        </w:rPr>
      </w:pPr>
    </w:p>
    <w:p w:rsidR="00991DE5" w:rsidRPr="00991DE5" w:rsidRDefault="00991DE5" w:rsidP="00991DE5">
      <w:pPr>
        <w:jc w:val="both"/>
        <w:rPr>
          <w:color w:val="000000"/>
          <w:lang w:val="fr-FR" w:eastAsia="fr-CH"/>
        </w:rPr>
      </w:pPr>
      <w:r w:rsidRPr="00991DE5">
        <w:rPr>
          <w:color w:val="000000"/>
          <w:lang w:val="fr-FR" w:eastAsia="fr-CH"/>
        </w:rPr>
        <w:t xml:space="preserve">Nous relevons les mesures prises par le Portugal pour mettre en œuvre les recommandations acceptées lors de son dernier </w:t>
      </w:r>
      <w:r w:rsidRPr="00991DE5">
        <w:rPr>
          <w:color w:val="000000"/>
          <w:lang w:val="fr-FR" w:eastAsia="fr-CH"/>
        </w:rPr>
        <w:t xml:space="preserve">Examen Périodique Universel </w:t>
      </w:r>
      <w:r w:rsidRPr="00991DE5">
        <w:rPr>
          <w:color w:val="000000"/>
          <w:lang w:val="fr-FR" w:eastAsia="fr-CH"/>
        </w:rPr>
        <w:t>qui se traduisent notamment par la ratification de</w:t>
      </w:r>
      <w:r w:rsidRPr="00991DE5">
        <w:rPr>
          <w:lang w:val="fr-CH"/>
        </w:rPr>
        <w:t xml:space="preserve"> la Convention</w:t>
      </w:r>
      <w:r>
        <w:rPr>
          <w:lang w:val="fr-CH"/>
        </w:rPr>
        <w:t xml:space="preserve"> I</w:t>
      </w:r>
      <w:bookmarkStart w:id="0" w:name="_GoBack"/>
      <w:bookmarkEnd w:id="0"/>
      <w:r w:rsidRPr="00991DE5">
        <w:rPr>
          <w:lang w:val="fr-CH"/>
        </w:rPr>
        <w:t>nternationale pour la protection de toutes les personnes contre les disparitions forcées, la Convention de l’OIT sur les travailleuses et travailleurs domestiques ou encore la Convention du Conseil de l’Europe contre le trafic d’organes humains</w:t>
      </w:r>
      <w:r w:rsidRPr="00991DE5">
        <w:rPr>
          <w:color w:val="000000"/>
          <w:lang w:val="fr-FR" w:eastAsia="fr-CH"/>
        </w:rPr>
        <w:t xml:space="preserve">. </w:t>
      </w:r>
    </w:p>
    <w:p w:rsidR="00991DE5" w:rsidRPr="00991DE5" w:rsidRDefault="00991DE5" w:rsidP="00991DE5">
      <w:pPr>
        <w:jc w:val="both"/>
        <w:rPr>
          <w:lang w:val="fr-FR"/>
        </w:rPr>
      </w:pPr>
    </w:p>
    <w:p w:rsidR="00991DE5" w:rsidRDefault="00991DE5" w:rsidP="00991DE5">
      <w:pPr>
        <w:jc w:val="both"/>
        <w:rPr>
          <w:lang w:val="fr-CH"/>
        </w:rPr>
      </w:pPr>
      <w:r w:rsidRPr="00991DE5">
        <w:rPr>
          <w:lang w:val="fr-CH"/>
        </w:rPr>
        <w:t>En outre, ma délégation salue l’adoption par le Portugal d’un certain nombre d’instruments en matière de droits de l’homme tels que le Plan stratégique pour les migrations (2015-2020), la Stratégie nationale pour l’égalité et la non-discrimination (2018-2030) ainsi que la signature du Pacte mondial pour des migrations sûres, ordonnées et régulières et du Pacte mondial sur les réfugiés.</w:t>
      </w:r>
    </w:p>
    <w:p w:rsidR="00991DE5" w:rsidRPr="00991DE5" w:rsidRDefault="00991DE5" w:rsidP="00991DE5">
      <w:pPr>
        <w:jc w:val="both"/>
        <w:rPr>
          <w:lang w:val="fr-CH"/>
        </w:rPr>
      </w:pPr>
    </w:p>
    <w:p w:rsidR="00991DE5" w:rsidRDefault="00991DE5" w:rsidP="00991DE5">
      <w:pPr>
        <w:shd w:val="clear" w:color="auto" w:fill="FFFFFF"/>
        <w:jc w:val="both"/>
        <w:rPr>
          <w:b/>
          <w:bCs/>
          <w:color w:val="000000"/>
          <w:lang w:val="fr-FR" w:eastAsia="fr-CH"/>
        </w:rPr>
      </w:pPr>
      <w:r w:rsidRPr="00991DE5">
        <w:rPr>
          <w:b/>
          <w:bCs/>
          <w:color w:val="000000"/>
          <w:lang w:val="fr-FR" w:eastAsia="fr-CH"/>
        </w:rPr>
        <w:t>Aussi, la République de Djibouti souhaiterait formuler au Portugal les 2 recommandations qui sont les suivantes :</w:t>
      </w:r>
    </w:p>
    <w:p w:rsidR="00991DE5" w:rsidRPr="00991DE5" w:rsidRDefault="00991DE5" w:rsidP="00991DE5">
      <w:pPr>
        <w:shd w:val="clear" w:color="auto" w:fill="FFFFFF"/>
        <w:jc w:val="both"/>
        <w:rPr>
          <w:b/>
          <w:bCs/>
          <w:color w:val="000000"/>
          <w:lang w:val="fr-FR" w:eastAsia="fr-CH"/>
        </w:rPr>
      </w:pPr>
    </w:p>
    <w:p w:rsidR="00991DE5" w:rsidRPr="00991DE5" w:rsidRDefault="00991DE5" w:rsidP="00991DE5">
      <w:pPr>
        <w:numPr>
          <w:ilvl w:val="0"/>
          <w:numId w:val="4"/>
        </w:numPr>
        <w:shd w:val="clear" w:color="auto" w:fill="FFFFFF"/>
        <w:contextualSpacing/>
        <w:jc w:val="both"/>
        <w:rPr>
          <w:rFonts w:eastAsia="Calibri"/>
          <w:b/>
          <w:lang w:val="fr-FR"/>
        </w:rPr>
      </w:pPr>
      <w:r w:rsidRPr="00991DE5">
        <w:rPr>
          <w:b/>
          <w:bCs/>
          <w:color w:val="000000"/>
          <w:lang w:val="fr-FR" w:eastAsia="fr-CH"/>
        </w:rPr>
        <w:t xml:space="preserve">Envisager la ratification de </w:t>
      </w:r>
      <w:r w:rsidRPr="00991DE5">
        <w:rPr>
          <w:rFonts w:eastAsia="Calibri"/>
          <w:b/>
          <w:lang w:val="fr-FR"/>
        </w:rPr>
        <w:t>la Convention internationale sur la protection des droits de tous les travailleurs migrants et des membres de leur famille</w:t>
      </w:r>
      <w:r>
        <w:rPr>
          <w:rFonts w:eastAsia="Calibri"/>
          <w:b/>
          <w:lang w:val="fr-FR"/>
        </w:rPr>
        <w:t>.</w:t>
      </w:r>
      <w:r w:rsidRPr="00991DE5">
        <w:rPr>
          <w:rFonts w:eastAsia="Calibri"/>
          <w:b/>
          <w:lang w:val="fr-FR"/>
        </w:rPr>
        <w:t xml:space="preserve"> </w:t>
      </w:r>
    </w:p>
    <w:p w:rsidR="00991DE5" w:rsidRPr="00991DE5" w:rsidRDefault="00991DE5" w:rsidP="00991DE5">
      <w:pPr>
        <w:shd w:val="clear" w:color="auto" w:fill="FFFFFF"/>
        <w:ind w:left="360"/>
        <w:contextualSpacing/>
        <w:jc w:val="both"/>
        <w:rPr>
          <w:rFonts w:eastAsia="Calibri"/>
          <w:b/>
          <w:lang w:val="fr-FR"/>
        </w:rPr>
      </w:pPr>
    </w:p>
    <w:p w:rsidR="00991DE5" w:rsidRPr="00991DE5" w:rsidRDefault="00991DE5" w:rsidP="00991DE5">
      <w:pPr>
        <w:numPr>
          <w:ilvl w:val="0"/>
          <w:numId w:val="4"/>
        </w:numPr>
        <w:shd w:val="clear" w:color="auto" w:fill="FFFFFF"/>
        <w:contextualSpacing/>
        <w:jc w:val="both"/>
        <w:rPr>
          <w:rFonts w:eastAsia="Calibri"/>
          <w:b/>
          <w:lang w:val="fr-FR"/>
        </w:rPr>
      </w:pPr>
      <w:r w:rsidRPr="00991DE5">
        <w:rPr>
          <w:rFonts w:eastAsia="Calibri"/>
          <w:b/>
          <w:lang w:val="fr-FR"/>
        </w:rPr>
        <w:t>Prendre des mesures efficaces pour combattre toutes les formes de discrimination et plus particulièrement les discriminations raciales à l’égard des personnes d’ascendance africaine</w:t>
      </w:r>
      <w:r>
        <w:rPr>
          <w:rFonts w:eastAsia="Calibri"/>
          <w:b/>
          <w:lang w:val="fr-FR"/>
        </w:rPr>
        <w:t>.</w:t>
      </w:r>
      <w:r w:rsidRPr="00991DE5">
        <w:rPr>
          <w:rFonts w:eastAsia="Calibri"/>
          <w:b/>
          <w:lang w:val="fr-FR"/>
        </w:rPr>
        <w:t xml:space="preserve"> </w:t>
      </w:r>
    </w:p>
    <w:p w:rsidR="00991DE5" w:rsidRPr="00991DE5" w:rsidRDefault="00991DE5" w:rsidP="00991DE5">
      <w:pPr>
        <w:shd w:val="clear" w:color="auto" w:fill="FFFFFF"/>
        <w:spacing w:before="100" w:beforeAutospacing="1" w:after="100" w:afterAutospacing="1" w:line="360" w:lineRule="auto"/>
        <w:ind w:left="360"/>
        <w:contextualSpacing/>
        <w:jc w:val="both"/>
        <w:rPr>
          <w:rFonts w:eastAsia="Calibri"/>
          <w:b/>
          <w:lang w:val="fr-FR"/>
        </w:rPr>
      </w:pPr>
    </w:p>
    <w:p w:rsidR="00991DE5" w:rsidRDefault="00991DE5" w:rsidP="00991DE5">
      <w:pPr>
        <w:shd w:val="clear" w:color="auto" w:fill="FFFFFF"/>
        <w:spacing w:line="276" w:lineRule="auto"/>
        <w:jc w:val="both"/>
        <w:rPr>
          <w:color w:val="000000"/>
          <w:lang w:val="fr-FR" w:eastAsia="fr-CH"/>
        </w:rPr>
      </w:pPr>
      <w:r w:rsidRPr="00991DE5">
        <w:rPr>
          <w:color w:val="000000"/>
          <w:lang w:val="fr-FR" w:eastAsia="fr-CH"/>
        </w:rPr>
        <w:t>Enfin, Djibouti souhaite plein succès au Portugal dans la conduite de son examen</w:t>
      </w:r>
      <w:r>
        <w:rPr>
          <w:color w:val="000000"/>
          <w:lang w:val="fr-FR" w:eastAsia="fr-CH"/>
        </w:rPr>
        <w:t>.</w:t>
      </w:r>
    </w:p>
    <w:p w:rsidR="00991DE5" w:rsidRDefault="00991DE5" w:rsidP="00991DE5">
      <w:pPr>
        <w:shd w:val="clear" w:color="auto" w:fill="FFFFFF"/>
        <w:spacing w:line="276" w:lineRule="auto"/>
        <w:jc w:val="both"/>
        <w:rPr>
          <w:color w:val="000000"/>
          <w:lang w:val="fr-FR" w:eastAsia="fr-CH"/>
        </w:rPr>
      </w:pPr>
    </w:p>
    <w:p w:rsidR="001922DF" w:rsidRPr="00991DE5" w:rsidRDefault="001922DF" w:rsidP="00991DE5">
      <w:pPr>
        <w:shd w:val="clear" w:color="auto" w:fill="FFFFFF"/>
        <w:spacing w:line="276" w:lineRule="auto"/>
        <w:jc w:val="both"/>
        <w:rPr>
          <w:color w:val="000000"/>
          <w:lang w:val="fr-FR" w:eastAsia="fr-CH"/>
        </w:rPr>
      </w:pPr>
      <w:r w:rsidRPr="00991DE5">
        <w:rPr>
          <w:b/>
          <w:color w:val="000000"/>
          <w:lang w:val="fr-FR" w:eastAsia="fr-CH"/>
        </w:rPr>
        <w:t>Je vous remercie</w:t>
      </w:r>
    </w:p>
    <w:p w:rsidR="00686C79" w:rsidRPr="007439A4" w:rsidRDefault="00686C79" w:rsidP="001922DF">
      <w:pPr>
        <w:shd w:val="clear" w:color="auto" w:fill="FFFFFF"/>
        <w:jc w:val="both"/>
        <w:rPr>
          <w:b/>
          <w:color w:val="000000"/>
          <w:lang w:val="fr-FR" w:eastAsia="fr-CH"/>
        </w:rPr>
      </w:pP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1D" w:rsidRDefault="00317E1D">
      <w:r>
        <w:separator/>
      </w:r>
    </w:p>
  </w:endnote>
  <w:endnote w:type="continuationSeparator" w:id="0">
    <w:p w:rsidR="00317E1D" w:rsidRDefault="0031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1D" w:rsidRDefault="00317E1D">
      <w:r>
        <w:separator/>
      </w:r>
    </w:p>
  </w:footnote>
  <w:footnote w:type="continuationSeparator" w:id="0">
    <w:p w:rsidR="00317E1D" w:rsidRDefault="0031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1922DF">
    <w:pPr>
      <w:pStyle w:val="En-tte"/>
      <w:jc w:val="right"/>
      <w:rPr>
        <w:lang w:val="fr-CH"/>
      </w:rPr>
    </w:pPr>
    <w:r>
      <w:rPr>
        <w:b/>
        <w:noProof/>
        <w:sz w:val="22"/>
        <w:lang w:val="fr-FR" w:eastAsia="fr-FR"/>
      </w:rPr>
      <mc:AlternateContent>
        <mc:Choice Requires="wps">
          <w:drawing>
            <wp:anchor distT="0" distB="0" distL="114300" distR="114300" simplePos="0" relativeHeight="251658752" behindDoc="1" locked="0" layoutInCell="0" allowOverlap="1" wp14:anchorId="4AB9ABDB" wp14:editId="5002CC0C">
              <wp:simplePos x="0" y="0"/>
              <wp:positionH relativeFrom="page">
                <wp:posOffset>76200</wp:posOffset>
              </wp:positionH>
              <wp:positionV relativeFrom="paragraph">
                <wp:posOffset>268605</wp:posOffset>
              </wp:positionV>
              <wp:extent cx="3267075" cy="1181100"/>
              <wp:effectExtent l="0" t="0" r="9525"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0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ABDB" id="_x0000_t202" coordsize="21600,21600" o:spt="202" path="m,l,21600r21600,l21600,xe">
              <v:stroke joinstyle="miter"/>
              <v:path gradientshapeok="t" o:connecttype="rect"/>
            </v:shapetype>
            <v:shape id=" 4" o:spid="_x0000_s1026" type="#_x0000_t202" style="position:absolute;left:0;text-align:left;margin-left:6pt;margin-top:21.15pt;width:257.25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507831">
    <w:pPr>
      <w:jc w:val="center"/>
    </w:pP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718D1"/>
    <w:rsid w:val="001922DF"/>
    <w:rsid w:val="00194345"/>
    <w:rsid w:val="001A17DE"/>
    <w:rsid w:val="00201743"/>
    <w:rsid w:val="002414DE"/>
    <w:rsid w:val="00253E00"/>
    <w:rsid w:val="00256206"/>
    <w:rsid w:val="00265A5E"/>
    <w:rsid w:val="00295F58"/>
    <w:rsid w:val="002A0861"/>
    <w:rsid w:val="002C47D1"/>
    <w:rsid w:val="002E1C71"/>
    <w:rsid w:val="00317E1D"/>
    <w:rsid w:val="00322E29"/>
    <w:rsid w:val="003435F3"/>
    <w:rsid w:val="003876A1"/>
    <w:rsid w:val="003965D8"/>
    <w:rsid w:val="003A1635"/>
    <w:rsid w:val="003E3C3C"/>
    <w:rsid w:val="004911E7"/>
    <w:rsid w:val="004A0C46"/>
    <w:rsid w:val="004B5E54"/>
    <w:rsid w:val="004E363C"/>
    <w:rsid w:val="004E66B2"/>
    <w:rsid w:val="00507831"/>
    <w:rsid w:val="00521F40"/>
    <w:rsid w:val="00543D51"/>
    <w:rsid w:val="005519A1"/>
    <w:rsid w:val="00567252"/>
    <w:rsid w:val="00570737"/>
    <w:rsid w:val="0059390A"/>
    <w:rsid w:val="005B4227"/>
    <w:rsid w:val="005B7A39"/>
    <w:rsid w:val="005C4742"/>
    <w:rsid w:val="006246B5"/>
    <w:rsid w:val="00642037"/>
    <w:rsid w:val="006755A7"/>
    <w:rsid w:val="006821CE"/>
    <w:rsid w:val="00686C79"/>
    <w:rsid w:val="006B1162"/>
    <w:rsid w:val="006D28C9"/>
    <w:rsid w:val="006E7454"/>
    <w:rsid w:val="00704733"/>
    <w:rsid w:val="00706819"/>
    <w:rsid w:val="00714FF4"/>
    <w:rsid w:val="00730ED4"/>
    <w:rsid w:val="00737AA3"/>
    <w:rsid w:val="007439A4"/>
    <w:rsid w:val="007668C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91DE5"/>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1B48"/>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F05238"/>
    <w:rsid w:val="00F102F3"/>
    <w:rsid w:val="00F11C86"/>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BE30B-AD41-4CFC-BC61-FE819D083A7A}"/>
</file>

<file path=customXml/itemProps2.xml><?xml version="1.0" encoding="utf-8"?>
<ds:datastoreItem xmlns:ds="http://schemas.openxmlformats.org/officeDocument/2006/customXml" ds:itemID="{2A7BE60F-056A-497A-BF14-AF713C67599A}"/>
</file>

<file path=customXml/itemProps3.xml><?xml version="1.0" encoding="utf-8"?>
<ds:datastoreItem xmlns:ds="http://schemas.openxmlformats.org/officeDocument/2006/customXml" ds:itemID="{41EA3567-6350-4F6D-B000-C266920F3A81}"/>
</file>

<file path=customXml/itemProps4.xml><?xml version="1.0" encoding="utf-8"?>
<ds:datastoreItem xmlns:ds="http://schemas.openxmlformats.org/officeDocument/2006/customXml" ds:itemID="{55C72422-BCA7-4410-BB71-2F41A332BFFD}"/>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5</cp:revision>
  <cp:lastPrinted>2019-05-03T11:21:00Z</cp:lastPrinted>
  <dcterms:created xsi:type="dcterms:W3CDTF">2019-05-03T11:22:00Z</dcterms:created>
  <dcterms:modified xsi:type="dcterms:W3CDTF">2019-05-15T13:24:00Z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