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89" w:rsidRPr="002D7E60" w:rsidRDefault="004470FB" w:rsidP="00DE4889">
      <w:pPr>
        <w:spacing w:before="120" w:after="120" w:line="276" w:lineRule="auto"/>
        <w:jc w:val="center"/>
        <w:rPr>
          <w:rFonts w:ascii="Georgia" w:eastAsia="Calibri" w:hAnsi="Georgia" w:cs="Calibri"/>
          <w:b/>
          <w:sz w:val="28"/>
          <w:szCs w:val="28"/>
          <w:lang w:val="en-US"/>
        </w:rPr>
      </w:pPr>
      <w:r w:rsidRPr="002D7E60">
        <w:rPr>
          <w:rFonts w:ascii="Georgia" w:eastAsia="Calibri" w:hAnsi="Georgia" w:cs="Calibri"/>
          <w:b/>
          <w:sz w:val="28"/>
          <w:szCs w:val="28"/>
          <w:lang w:val="en-US"/>
        </w:rPr>
        <w:t>UPR</w:t>
      </w:r>
      <w:r w:rsidR="00985F6A" w:rsidRPr="002D7E60">
        <w:rPr>
          <w:rFonts w:ascii="Georgia" w:eastAsia="Calibri" w:hAnsi="Georgia" w:cs="Calibri"/>
          <w:b/>
          <w:sz w:val="28"/>
          <w:szCs w:val="28"/>
          <w:lang w:val="en-US"/>
        </w:rPr>
        <w:t xml:space="preserve"> 33</w:t>
      </w:r>
    </w:p>
    <w:p w:rsidR="008D566C" w:rsidRPr="002D7E60" w:rsidRDefault="00985F6A" w:rsidP="00DE4889">
      <w:pPr>
        <w:spacing w:after="200" w:line="276" w:lineRule="auto"/>
        <w:jc w:val="center"/>
        <w:rPr>
          <w:rFonts w:ascii="Georgia" w:eastAsia="Calibri" w:hAnsi="Georgia" w:cs="Calibri"/>
          <w:b/>
          <w:sz w:val="28"/>
          <w:szCs w:val="28"/>
          <w:lang w:val="en-US"/>
        </w:rPr>
      </w:pPr>
      <w:r w:rsidRPr="002D7E60">
        <w:rPr>
          <w:rFonts w:ascii="Georgia" w:eastAsia="Calibri" w:hAnsi="Georgia" w:cs="Calibri"/>
          <w:b/>
          <w:sz w:val="28"/>
          <w:szCs w:val="28"/>
          <w:lang w:val="en-US"/>
        </w:rPr>
        <w:t>N</w:t>
      </w:r>
      <w:r w:rsidR="00DE4889" w:rsidRPr="002D7E60">
        <w:rPr>
          <w:rFonts w:ascii="Georgia" w:eastAsia="Calibri" w:hAnsi="Georgia" w:cs="Calibri"/>
          <w:b/>
          <w:sz w:val="28"/>
          <w:szCs w:val="28"/>
          <w:lang w:val="en-US"/>
        </w:rPr>
        <w:t>icaragua</w:t>
      </w:r>
      <w:r w:rsidR="008D566C" w:rsidRPr="002D7E60">
        <w:rPr>
          <w:rFonts w:ascii="Georgia" w:eastAsia="Calibri" w:hAnsi="Georgia" w:cs="Calibri"/>
          <w:b/>
          <w:sz w:val="28"/>
          <w:szCs w:val="28"/>
          <w:lang w:val="en-US"/>
        </w:rPr>
        <w:t xml:space="preserve"> </w:t>
      </w:r>
    </w:p>
    <w:p w:rsidR="008D566C" w:rsidRPr="002D7E60" w:rsidRDefault="00985F6A" w:rsidP="00DE4889">
      <w:pPr>
        <w:spacing w:after="200" w:line="276" w:lineRule="auto"/>
        <w:jc w:val="center"/>
        <w:rPr>
          <w:rFonts w:ascii="Georgia" w:eastAsia="Calibri" w:hAnsi="Georgia" w:cs="Calibri"/>
          <w:i/>
          <w:sz w:val="28"/>
          <w:szCs w:val="28"/>
          <w:lang w:val="en-US"/>
        </w:rPr>
      </w:pPr>
      <w:r w:rsidRPr="002D7E60">
        <w:rPr>
          <w:rFonts w:ascii="Georgia" w:eastAsia="Calibri" w:hAnsi="Georgia" w:cs="Calibri"/>
          <w:i/>
          <w:sz w:val="28"/>
          <w:szCs w:val="28"/>
          <w:lang w:val="en-US"/>
        </w:rPr>
        <w:t>15</w:t>
      </w:r>
      <w:r w:rsidR="00DE4889" w:rsidRPr="002D7E60">
        <w:rPr>
          <w:rFonts w:ascii="Georgia" w:eastAsia="Calibri" w:hAnsi="Georgia" w:cs="Calibri"/>
          <w:i/>
          <w:sz w:val="28"/>
          <w:szCs w:val="28"/>
          <w:vertAlign w:val="superscript"/>
          <w:lang w:val="en-US"/>
        </w:rPr>
        <w:t>th</w:t>
      </w:r>
      <w:r w:rsidRPr="002D7E60">
        <w:rPr>
          <w:rFonts w:ascii="Georgia" w:eastAsia="Calibri" w:hAnsi="Georgia" w:cs="Calibri"/>
          <w:i/>
          <w:sz w:val="28"/>
          <w:szCs w:val="28"/>
          <w:lang w:val="en-US"/>
        </w:rPr>
        <w:t xml:space="preserve"> May </w:t>
      </w:r>
      <w:r w:rsidR="00E94764" w:rsidRPr="002D7E60">
        <w:rPr>
          <w:rFonts w:ascii="Georgia" w:eastAsia="Calibri" w:hAnsi="Georgia" w:cs="Calibri"/>
          <w:i/>
          <w:sz w:val="28"/>
          <w:szCs w:val="28"/>
          <w:lang w:val="en-US"/>
        </w:rPr>
        <w:t>2019</w:t>
      </w:r>
    </w:p>
    <w:p w:rsidR="00DE4889" w:rsidRPr="002D7E60" w:rsidRDefault="00DE4889" w:rsidP="00DE4889">
      <w:pPr>
        <w:jc w:val="center"/>
        <w:rPr>
          <w:rFonts w:ascii="Georgia" w:hAnsi="Georgia" w:cs="Calibri"/>
          <w:b/>
          <w:sz w:val="28"/>
          <w:szCs w:val="28"/>
          <w:lang w:val="en-US"/>
        </w:rPr>
      </w:pPr>
      <w:r w:rsidRPr="002D7E60">
        <w:rPr>
          <w:rFonts w:ascii="Georgia" w:hAnsi="Georgia" w:cs="Calibri"/>
          <w:b/>
          <w:sz w:val="28"/>
          <w:szCs w:val="28"/>
          <w:lang w:val="en-US"/>
        </w:rPr>
        <w:t>STATEMENT BY THE CZECH REPUBLIC</w:t>
      </w:r>
    </w:p>
    <w:p w:rsidR="00812123" w:rsidRPr="002D7E60" w:rsidRDefault="00812123" w:rsidP="00DE4889">
      <w:pPr>
        <w:jc w:val="center"/>
        <w:rPr>
          <w:rFonts w:ascii="Georgia" w:hAnsi="Georgia" w:cs="Calibri"/>
          <w:b/>
          <w:sz w:val="28"/>
          <w:szCs w:val="28"/>
          <w:lang w:val="en-US"/>
        </w:rPr>
      </w:pPr>
    </w:p>
    <w:p w:rsidR="00DE4889" w:rsidRPr="002D7E60" w:rsidRDefault="009559EC" w:rsidP="00DE4889">
      <w:pPr>
        <w:rPr>
          <w:rFonts w:ascii="Georgia" w:hAnsi="Georgia" w:cs="Calibri"/>
          <w:sz w:val="28"/>
          <w:szCs w:val="28"/>
        </w:rPr>
      </w:pPr>
      <w:proofErr w:type="spellStart"/>
      <w:r w:rsidRPr="002D7E60">
        <w:rPr>
          <w:rFonts w:ascii="Georgia" w:hAnsi="Georgia" w:cs="Calibri"/>
          <w:sz w:val="28"/>
          <w:szCs w:val="28"/>
        </w:rPr>
        <w:t>Thank</w:t>
      </w:r>
      <w:proofErr w:type="spellEnd"/>
      <w:r w:rsidRPr="002D7E60">
        <w:rPr>
          <w:rFonts w:ascii="Georgia" w:hAnsi="Georgia" w:cs="Calibri"/>
          <w:sz w:val="28"/>
          <w:szCs w:val="28"/>
        </w:rPr>
        <w:t xml:space="preserve"> </w:t>
      </w:r>
      <w:proofErr w:type="spellStart"/>
      <w:r w:rsidRPr="002D7E60">
        <w:rPr>
          <w:rFonts w:ascii="Georgia" w:hAnsi="Georgia" w:cs="Calibri"/>
          <w:sz w:val="28"/>
          <w:szCs w:val="28"/>
        </w:rPr>
        <w:t>you</w:t>
      </w:r>
      <w:proofErr w:type="spellEnd"/>
      <w:r w:rsidRPr="002D7E60">
        <w:rPr>
          <w:rFonts w:ascii="Georgia" w:hAnsi="Georgia" w:cs="Calibri"/>
          <w:sz w:val="28"/>
          <w:szCs w:val="28"/>
        </w:rPr>
        <w:t xml:space="preserve">, madame </w:t>
      </w:r>
      <w:r w:rsidR="002A1D20" w:rsidRPr="002D7E60">
        <w:rPr>
          <w:rFonts w:ascii="Georgia" w:hAnsi="Georgia" w:cs="Calibri"/>
          <w:sz w:val="28"/>
          <w:szCs w:val="28"/>
        </w:rPr>
        <w:t>vicepresident.</w:t>
      </w:r>
      <w:r w:rsidRPr="002D7E60">
        <w:rPr>
          <w:rFonts w:ascii="Georgia" w:hAnsi="Georgia" w:cs="Calibri"/>
          <w:sz w:val="28"/>
          <w:szCs w:val="28"/>
        </w:rPr>
        <w:t xml:space="preserve"> </w:t>
      </w:r>
    </w:p>
    <w:p w:rsidR="009559EC" w:rsidRPr="002D7E60" w:rsidRDefault="009559EC" w:rsidP="00DE4889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r w:rsidRPr="002D7E60">
        <w:rPr>
          <w:rFonts w:ascii="Georgia" w:eastAsia="Calibri" w:hAnsi="Georgia" w:cs="Calibri"/>
          <w:sz w:val="28"/>
          <w:szCs w:val="28"/>
          <w:lang w:val="en-GB"/>
        </w:rPr>
        <w:t xml:space="preserve">The Czech Republic thanks Nicaragua for the presented report. </w:t>
      </w:r>
    </w:p>
    <w:p w:rsidR="002A1D20" w:rsidRPr="002D7E60" w:rsidRDefault="002A1D20" w:rsidP="00DE4889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</w:p>
    <w:p w:rsidR="00EF18A4" w:rsidRPr="002D7E60" w:rsidRDefault="007F34B9" w:rsidP="00DE4889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r w:rsidRPr="002D7E60">
        <w:rPr>
          <w:rFonts w:ascii="Georgia" w:eastAsia="Calibri" w:hAnsi="Georgia" w:cs="Calibri"/>
          <w:sz w:val="28"/>
          <w:szCs w:val="28"/>
          <w:lang w:val="en-GB"/>
        </w:rPr>
        <w:t xml:space="preserve">We </w:t>
      </w:r>
      <w:r w:rsidR="004925CC" w:rsidRPr="002D7E60">
        <w:rPr>
          <w:rFonts w:ascii="Georgia" w:eastAsia="Calibri" w:hAnsi="Georgia" w:cs="Calibri"/>
          <w:sz w:val="28"/>
          <w:szCs w:val="28"/>
          <w:lang w:val="en-GB"/>
        </w:rPr>
        <w:t xml:space="preserve">welcome 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the agreement </w:t>
      </w:r>
      <w:r w:rsidR="009559EC" w:rsidRPr="002D7E60">
        <w:rPr>
          <w:rFonts w:ascii="Georgia" w:eastAsia="Calibri" w:hAnsi="Georgia" w:cs="Calibri"/>
          <w:sz w:val="28"/>
          <w:szCs w:val="28"/>
          <w:lang w:val="en-GB"/>
        </w:rPr>
        <w:t>between Nicaragua and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the ICRC </w:t>
      </w:r>
      <w:r w:rsidR="00DB2FAD" w:rsidRPr="002D7E60">
        <w:rPr>
          <w:rFonts w:ascii="Georgia" w:eastAsia="Calibri" w:hAnsi="Georgia" w:cs="Calibri"/>
          <w:sz w:val="28"/>
          <w:szCs w:val="28"/>
          <w:lang w:val="en-GB"/>
        </w:rPr>
        <w:t>on</w:t>
      </w:r>
      <w:r w:rsidR="00EA0624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access to 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>prisons by international partners.</w:t>
      </w:r>
      <w:r w:rsidR="00F54CCF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</w:t>
      </w:r>
    </w:p>
    <w:p w:rsidR="00EF18A4" w:rsidRPr="002D7E60" w:rsidRDefault="00EF18A4" w:rsidP="00DE4889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</w:p>
    <w:p w:rsidR="005A148C" w:rsidRPr="002D7E60" w:rsidRDefault="009559E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r w:rsidRPr="002D7E60">
        <w:rPr>
          <w:rFonts w:ascii="Georgia" w:eastAsia="Calibri" w:hAnsi="Georgia" w:cs="Calibri"/>
          <w:sz w:val="28"/>
          <w:szCs w:val="28"/>
          <w:lang w:val="en-GB"/>
        </w:rPr>
        <w:t>However, w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>e</w:t>
      </w:r>
      <w:r w:rsidR="006361E8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remain 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 xml:space="preserve">deeply </w:t>
      </w:r>
      <w:r w:rsidR="006361E8" w:rsidRPr="002D7E60">
        <w:rPr>
          <w:rFonts w:ascii="Georgia" w:eastAsia="Calibri" w:hAnsi="Georgia" w:cs="Calibri"/>
          <w:sz w:val="28"/>
          <w:szCs w:val="28"/>
          <w:lang w:val="en-GB"/>
        </w:rPr>
        <w:t xml:space="preserve">concerned over the </w:t>
      </w:r>
      <w:r w:rsidR="002F42B6" w:rsidRPr="002D7E60">
        <w:rPr>
          <w:rFonts w:ascii="Georgia" w:eastAsia="Calibri" w:hAnsi="Georgia" w:cs="Calibri"/>
          <w:sz w:val="28"/>
          <w:szCs w:val="28"/>
          <w:lang w:val="en-GB"/>
        </w:rPr>
        <w:t>disproportionate</w:t>
      </w:r>
      <w:r w:rsidR="006361E8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use of force in police interventions</w:t>
      </w:r>
      <w:r w:rsidR="00DB2FA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resulting, among others, in </w:t>
      </w:r>
      <w:r w:rsidR="002F42B6" w:rsidRPr="002D7E60">
        <w:rPr>
          <w:rFonts w:ascii="Georgia" w:eastAsia="Calibri" w:hAnsi="Georgia" w:cs="Calibri"/>
          <w:sz w:val="28"/>
          <w:szCs w:val="28"/>
          <w:lang w:val="en-GB"/>
        </w:rPr>
        <w:t>extrajudicial killings, enforced disappearances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</w:t>
      </w:r>
      <w:r w:rsidR="00566581" w:rsidRPr="002D7E60">
        <w:rPr>
          <w:rFonts w:ascii="Georgia" w:eastAsia="Calibri" w:hAnsi="Georgia" w:cs="Calibri"/>
          <w:sz w:val="28"/>
          <w:szCs w:val="28"/>
          <w:lang w:val="en-GB"/>
        </w:rPr>
        <w:t xml:space="preserve">and </w:t>
      </w:r>
      <w:r w:rsidR="00DB2FA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the </w:t>
      </w:r>
      <w:r w:rsidR="00566581" w:rsidRPr="002D7E60">
        <w:rPr>
          <w:rFonts w:ascii="Georgia" w:eastAsia="Calibri" w:hAnsi="Georgia" w:cs="Calibri"/>
          <w:sz w:val="28"/>
          <w:szCs w:val="28"/>
          <w:lang w:val="en-GB"/>
        </w:rPr>
        <w:t xml:space="preserve">use of force by non-regular para-police </w:t>
      </w:r>
      <w:r w:rsidR="002F42B6" w:rsidRPr="002D7E60">
        <w:rPr>
          <w:rFonts w:ascii="Georgia" w:eastAsia="Calibri" w:hAnsi="Georgia" w:cs="Calibri"/>
          <w:sz w:val="28"/>
          <w:szCs w:val="28"/>
          <w:lang w:val="en-GB"/>
        </w:rPr>
        <w:t xml:space="preserve">armed </w:t>
      </w:r>
      <w:r w:rsidR="00566581" w:rsidRPr="002D7E60">
        <w:rPr>
          <w:rFonts w:ascii="Georgia" w:eastAsia="Calibri" w:hAnsi="Georgia" w:cs="Calibri"/>
          <w:sz w:val="28"/>
          <w:szCs w:val="28"/>
          <w:lang w:val="en-GB"/>
        </w:rPr>
        <w:t xml:space="preserve">forces 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during 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>recent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protests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>.</w:t>
      </w:r>
    </w:p>
    <w:p w:rsidR="005A148C" w:rsidRPr="002D7E60" w:rsidRDefault="005A148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</w:p>
    <w:p w:rsidR="005A148C" w:rsidRPr="002D7E60" w:rsidRDefault="009559E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r w:rsidRPr="002D7E60">
        <w:rPr>
          <w:rFonts w:ascii="Georgia" w:eastAsia="Calibri" w:hAnsi="Georgia" w:cs="Calibri"/>
          <w:sz w:val="28"/>
          <w:szCs w:val="28"/>
          <w:lang w:val="en-GB"/>
        </w:rPr>
        <w:t>Therefore,</w:t>
      </w:r>
      <w:r w:rsidR="00DB2FAD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 xml:space="preserve">our first </w:t>
      </w:r>
      <w:r w:rsidR="006361E8" w:rsidRPr="002D7E60">
        <w:rPr>
          <w:rFonts w:ascii="Georgia" w:eastAsia="Calibri" w:hAnsi="Georgia" w:cs="Calibri"/>
          <w:sz w:val="28"/>
          <w:szCs w:val="28"/>
          <w:lang w:val="en-GB"/>
        </w:rPr>
        <w:t>recommend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>ation is</w:t>
      </w:r>
      <w:r w:rsidR="006361E8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that </w:t>
      </w:r>
      <w:r w:rsidR="0049735D" w:rsidRPr="002D7E60">
        <w:rPr>
          <w:rFonts w:ascii="Georgia" w:eastAsia="Calibri" w:hAnsi="Georgia" w:cs="Calibri"/>
          <w:sz w:val="28"/>
          <w:szCs w:val="28"/>
          <w:lang w:val="en-GB"/>
        </w:rPr>
        <w:t>Nicaragua</w:t>
      </w:r>
      <w:r w:rsidR="006361E8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>fully</w:t>
      </w:r>
      <w:r w:rsidR="002F42B6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guarantees </w:t>
      </w:r>
      <w:r w:rsidR="00566581" w:rsidRPr="002D7E60">
        <w:rPr>
          <w:rFonts w:ascii="Georgia" w:eastAsia="Calibri" w:hAnsi="Georgia" w:cs="Calibri"/>
          <w:sz w:val="28"/>
          <w:szCs w:val="28"/>
          <w:lang w:val="en-GB"/>
        </w:rPr>
        <w:t xml:space="preserve">freedom of association and peaceful assembly without fear of reprisals or unjust prosecution. </w:t>
      </w:r>
    </w:p>
    <w:p w:rsidR="005A148C" w:rsidRPr="002D7E60" w:rsidRDefault="005A148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</w:p>
    <w:p w:rsidR="00DB2FAD" w:rsidRPr="002D7E60" w:rsidRDefault="00DB2FAD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r w:rsidRPr="002D7E60">
        <w:rPr>
          <w:rFonts w:ascii="Georgia" w:eastAsia="Calibri" w:hAnsi="Georgia" w:cs="Calibri"/>
          <w:sz w:val="28"/>
          <w:szCs w:val="28"/>
          <w:lang w:val="en-GB"/>
        </w:rPr>
        <w:t xml:space="preserve">Another area of </w:t>
      </w:r>
      <w:r w:rsidR="009559EC" w:rsidRPr="002D7E60">
        <w:rPr>
          <w:rFonts w:ascii="Georgia" w:eastAsia="Calibri" w:hAnsi="Georgia" w:cs="Calibri"/>
          <w:sz w:val="28"/>
          <w:szCs w:val="28"/>
          <w:lang w:val="en-GB"/>
        </w:rPr>
        <w:t xml:space="preserve">our 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>concern is the continuing and increasing r</w:t>
      </w:r>
      <w:r w:rsidR="00B032B7" w:rsidRPr="002D7E60">
        <w:rPr>
          <w:rFonts w:ascii="Georgia" w:eastAsia="Calibri" w:hAnsi="Georgia" w:cs="Calibri"/>
          <w:sz w:val="28"/>
          <w:szCs w:val="28"/>
          <w:lang w:val="en-GB"/>
        </w:rPr>
        <w:t xml:space="preserve">epression and persecution of media and journalists. </w:t>
      </w:r>
    </w:p>
    <w:p w:rsidR="00DB2FAD" w:rsidRPr="002D7E60" w:rsidRDefault="00DB2FAD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</w:p>
    <w:p w:rsidR="005A148C" w:rsidRPr="002D7E60" w:rsidRDefault="009559E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proofErr w:type="gramStart"/>
      <w:r w:rsidRPr="002D7E60">
        <w:rPr>
          <w:rFonts w:ascii="Georgia" w:eastAsia="Calibri" w:hAnsi="Georgia" w:cs="Calibri"/>
          <w:sz w:val="28"/>
          <w:szCs w:val="28"/>
          <w:lang w:val="en-GB"/>
        </w:rPr>
        <w:t>So</w:t>
      </w:r>
      <w:proofErr w:type="gramEnd"/>
      <w:r w:rsidRPr="002D7E60">
        <w:rPr>
          <w:rFonts w:ascii="Georgia" w:eastAsia="Calibri" w:hAnsi="Georgia" w:cs="Calibri"/>
          <w:sz w:val="28"/>
          <w:szCs w:val="28"/>
          <w:lang w:val="en-GB"/>
        </w:rPr>
        <w:t>, the second recommendation for</w:t>
      </w:r>
      <w:r w:rsidR="00417FBC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Nicaragua 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 xml:space="preserve">is </w:t>
      </w:r>
      <w:r w:rsidR="002A1D20" w:rsidRPr="002D7E60">
        <w:rPr>
          <w:rFonts w:ascii="Georgia" w:eastAsia="Calibri" w:hAnsi="Georgia" w:cs="Calibri"/>
          <w:sz w:val="28"/>
          <w:szCs w:val="28"/>
          <w:lang w:val="en-GB"/>
        </w:rPr>
        <w:t>to ensure freedom of </w:t>
      </w:r>
      <w:r w:rsidR="00417FBC" w:rsidRPr="002D7E60">
        <w:rPr>
          <w:rFonts w:ascii="Georgia" w:eastAsia="Calibri" w:hAnsi="Georgia" w:cs="Calibri"/>
          <w:sz w:val="28"/>
          <w:szCs w:val="28"/>
          <w:lang w:val="en-GB"/>
        </w:rPr>
        <w:t>expression and refrain from using admin</w:t>
      </w:r>
      <w:r w:rsidR="002A1D20" w:rsidRPr="002D7E60">
        <w:rPr>
          <w:rFonts w:ascii="Georgia" w:eastAsia="Calibri" w:hAnsi="Georgia" w:cs="Calibri"/>
          <w:sz w:val="28"/>
          <w:szCs w:val="28"/>
          <w:lang w:val="en-GB"/>
        </w:rPr>
        <w:t>istrative and judicial means to </w:t>
      </w:r>
      <w:r w:rsidR="00417FBC" w:rsidRPr="002D7E60">
        <w:rPr>
          <w:rFonts w:ascii="Georgia" w:eastAsia="Calibri" w:hAnsi="Georgia" w:cs="Calibri"/>
          <w:sz w:val="28"/>
          <w:szCs w:val="28"/>
          <w:lang w:val="en-GB"/>
        </w:rPr>
        <w:t>unduly restrict exercise of th</w:t>
      </w:r>
      <w:r w:rsidRPr="002D7E60">
        <w:rPr>
          <w:rFonts w:ascii="Georgia" w:eastAsia="Calibri" w:hAnsi="Georgia" w:cs="Calibri"/>
          <w:sz w:val="28"/>
          <w:szCs w:val="28"/>
          <w:lang w:val="en-GB"/>
        </w:rPr>
        <w:t>is</w:t>
      </w:r>
      <w:r w:rsidR="00417FBC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right.</w:t>
      </w:r>
      <w:r w:rsidR="00B14B61" w:rsidRPr="002D7E60">
        <w:rPr>
          <w:rFonts w:ascii="Georgia" w:eastAsia="Calibri" w:hAnsi="Georgia" w:cs="Calibri"/>
          <w:sz w:val="28"/>
          <w:szCs w:val="28"/>
          <w:lang w:val="en-GB"/>
        </w:rPr>
        <w:t xml:space="preserve"> </w:t>
      </w:r>
    </w:p>
    <w:p w:rsidR="005A148C" w:rsidRPr="002D7E60" w:rsidRDefault="005A148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bookmarkStart w:id="0" w:name="_GoBack"/>
      <w:bookmarkEnd w:id="0"/>
    </w:p>
    <w:p w:rsidR="008D566C" w:rsidRPr="002D7E60" w:rsidRDefault="009559EC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28"/>
          <w:szCs w:val="28"/>
          <w:lang w:val="en-GB"/>
        </w:rPr>
      </w:pPr>
      <w:r w:rsidRPr="002D7E60">
        <w:rPr>
          <w:rFonts w:ascii="Georgia" w:eastAsia="Calibri" w:hAnsi="Georgia" w:cs="Calibri"/>
          <w:sz w:val="28"/>
          <w:szCs w:val="28"/>
          <w:lang w:val="en-GB"/>
        </w:rPr>
        <w:t>I t</w:t>
      </w:r>
      <w:r w:rsidR="008D566C" w:rsidRPr="002D7E60">
        <w:rPr>
          <w:rFonts w:ascii="Georgia" w:eastAsia="Calibri" w:hAnsi="Georgia" w:cs="Calibri"/>
          <w:sz w:val="28"/>
          <w:szCs w:val="28"/>
          <w:lang w:val="en-GB"/>
        </w:rPr>
        <w:t>hank you.</w:t>
      </w:r>
    </w:p>
    <w:p w:rsidR="00426A62" w:rsidRPr="002D7E60" w:rsidRDefault="00426A62" w:rsidP="00EF18A4">
      <w:pPr>
        <w:pStyle w:val="Default"/>
        <w:spacing w:after="23" w:line="276" w:lineRule="auto"/>
        <w:jc w:val="both"/>
        <w:rPr>
          <w:rFonts w:ascii="Georgia" w:eastAsia="Calibri" w:hAnsi="Georgia" w:cs="Calibri"/>
          <w:sz w:val="32"/>
          <w:szCs w:val="32"/>
          <w:lang w:val="en-GB"/>
        </w:rPr>
      </w:pPr>
    </w:p>
    <w:p w:rsidR="00426A62" w:rsidRPr="002D7E60" w:rsidRDefault="00426A62" w:rsidP="00EF18A4">
      <w:pPr>
        <w:pStyle w:val="Default"/>
        <w:spacing w:after="23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426A62" w:rsidRPr="002D7E60" w:rsidRDefault="00426A62" w:rsidP="00EF18A4">
      <w:pPr>
        <w:pStyle w:val="Default"/>
        <w:spacing w:after="23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4925CC" w:rsidRPr="00812123" w:rsidRDefault="004925CC" w:rsidP="00426A62">
      <w:pPr>
        <w:pStyle w:val="Default"/>
        <w:spacing w:after="2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925CC" w:rsidRPr="00812123" w:rsidRDefault="004925CC" w:rsidP="004470FB">
      <w:pPr>
        <w:pStyle w:val="Default"/>
        <w:spacing w:after="23"/>
        <w:rPr>
          <w:rFonts w:ascii="Times New Roman" w:hAnsi="Times New Roman" w:cs="Times New Roman"/>
          <w:sz w:val="28"/>
          <w:szCs w:val="28"/>
          <w:lang w:val="en-US"/>
        </w:rPr>
      </w:pPr>
    </w:p>
    <w:p w:rsidR="00C876A5" w:rsidRPr="00812123" w:rsidRDefault="00C876A5" w:rsidP="00C876A5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C876A5" w:rsidRPr="00405233" w:rsidRDefault="00C876A5" w:rsidP="00C876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76A5" w:rsidRPr="00405233" w:rsidSect="005A148C">
      <w:pgSz w:w="12240" w:h="16340"/>
      <w:pgMar w:top="1417" w:right="1417" w:bottom="851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B"/>
    <w:rsid w:val="00051F9D"/>
    <w:rsid w:val="000962E1"/>
    <w:rsid w:val="000A5547"/>
    <w:rsid w:val="000E24FA"/>
    <w:rsid w:val="000F78F3"/>
    <w:rsid w:val="00175E96"/>
    <w:rsid w:val="002A1D20"/>
    <w:rsid w:val="002C04BC"/>
    <w:rsid w:val="002D7E60"/>
    <w:rsid w:val="002F42B6"/>
    <w:rsid w:val="00354A99"/>
    <w:rsid w:val="003E45CB"/>
    <w:rsid w:val="003F129E"/>
    <w:rsid w:val="00405233"/>
    <w:rsid w:val="00417FBC"/>
    <w:rsid w:val="00426A62"/>
    <w:rsid w:val="004470FB"/>
    <w:rsid w:val="004604C0"/>
    <w:rsid w:val="00475E2E"/>
    <w:rsid w:val="004925CC"/>
    <w:rsid w:val="0049735D"/>
    <w:rsid w:val="00566581"/>
    <w:rsid w:val="005A148C"/>
    <w:rsid w:val="006361E8"/>
    <w:rsid w:val="006C3733"/>
    <w:rsid w:val="007B4369"/>
    <w:rsid w:val="007F34B9"/>
    <w:rsid w:val="00812123"/>
    <w:rsid w:val="00832FE4"/>
    <w:rsid w:val="00843468"/>
    <w:rsid w:val="008C3ADB"/>
    <w:rsid w:val="008D566C"/>
    <w:rsid w:val="009559EC"/>
    <w:rsid w:val="00985F6A"/>
    <w:rsid w:val="009D42DF"/>
    <w:rsid w:val="00A439C4"/>
    <w:rsid w:val="00A71748"/>
    <w:rsid w:val="00B032B7"/>
    <w:rsid w:val="00B14B61"/>
    <w:rsid w:val="00BF615E"/>
    <w:rsid w:val="00C34308"/>
    <w:rsid w:val="00C63F5A"/>
    <w:rsid w:val="00C85F66"/>
    <w:rsid w:val="00C876A5"/>
    <w:rsid w:val="00DB2FAD"/>
    <w:rsid w:val="00DE4889"/>
    <w:rsid w:val="00DE76D2"/>
    <w:rsid w:val="00DE798D"/>
    <w:rsid w:val="00E65180"/>
    <w:rsid w:val="00E94764"/>
    <w:rsid w:val="00EA0624"/>
    <w:rsid w:val="00EF18A4"/>
    <w:rsid w:val="00F5126F"/>
    <w:rsid w:val="00F54CCF"/>
    <w:rsid w:val="00F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A033"/>
  <w15:docId w15:val="{59D0145B-7863-4AFE-A497-60000C6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7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rsid w:val="006C3733"/>
  </w:style>
  <w:style w:type="paragraph" w:styleId="Textbubliny">
    <w:name w:val="Balloon Text"/>
    <w:basedOn w:val="Normln"/>
    <w:link w:val="TextbublinyChar"/>
    <w:uiPriority w:val="99"/>
    <w:semiHidden/>
    <w:unhideWhenUsed/>
    <w:rsid w:val="00EA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4E3E0-E184-4FAD-9CAB-46815E411CAE}"/>
</file>

<file path=customXml/itemProps2.xml><?xml version="1.0" encoding="utf-8"?>
<ds:datastoreItem xmlns:ds="http://schemas.openxmlformats.org/officeDocument/2006/customXml" ds:itemID="{1F66EA1B-D094-437B-9DD8-A88B2DAC95E3}"/>
</file>

<file path=customXml/itemProps3.xml><?xml version="1.0" encoding="utf-8"?>
<ds:datastoreItem xmlns:ds="http://schemas.openxmlformats.org/officeDocument/2006/customXml" ds:itemID="{F27F2B2E-D123-4B5C-9A1B-FF2A78B23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Jiří LUHAN</cp:lastModifiedBy>
  <cp:revision>5</cp:revision>
  <cp:lastPrinted>2019-05-16T12:46:00Z</cp:lastPrinted>
  <dcterms:created xsi:type="dcterms:W3CDTF">2019-05-16T12:39:00Z</dcterms:created>
  <dcterms:modified xsi:type="dcterms:W3CDTF">2019-05-16T12:51:00Z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