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tl w:val="0"/>
          <w:lang w:val="es-ES_tradnl"/>
        </w:rPr>
        <w:t xml:space="preserve"> </w:t>
      </w:r>
      <w:r>
        <w:rPr>
          <w:rStyle w:val="Ninguno"/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RECOMENDACIONES GUINEA ECUATORIAL</w:t>
      </w:r>
    </w:p>
    <w:p>
      <w:pPr>
        <w:pStyle w:val="Default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jc w:val="both"/>
        <w:rPr>
          <w:rStyle w:val="Ninguno"/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rtl w:val="0"/>
          <w:lang w:val="es-ES_tradnl"/>
        </w:rPr>
        <w:t>Muchas gracias se</w:t>
      </w:r>
      <w:r>
        <w:rPr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  <w:lang w:val="es-ES_tradnl"/>
        </w:rPr>
        <w:t>or Vicepresidente,</w:t>
      </w:r>
    </w:p>
    <w:p>
      <w:pPr>
        <w:pStyle w:val="Default"/>
        <w:jc w:val="both"/>
        <w:rPr>
          <w:rStyle w:val="Ninguno"/>
          <w:color w:val="000000"/>
          <w:u w:color="000000"/>
        </w:rPr>
      </w:pP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El Estado uruguayo reconoce los esfuerzos realizados por Guinea Ecuatorial para ratificar los instrumentos internacionales de derechos humanos a las que se ha adherido, como la Convenci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sobre los Derechos de las Personas con Discapacidad y el Protocolo Facultativo de la Convenci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sobre Los Derechos del Ni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o relativo a la participaci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de ni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os en los conflictos armados.</w:t>
      </w:r>
    </w:p>
    <w:p>
      <w:pPr>
        <w:pStyle w:val="Normal.0"/>
        <w:spacing w:after="0"/>
        <w:jc w:val="both"/>
      </w:pPr>
      <w:r>
        <w:rPr>
          <w:rtl w:val="0"/>
          <w:lang w:val="es-ES_tradnl"/>
        </w:rPr>
        <w:t>Alentado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 xml:space="preserve">por estos avances, Uruguay anima a Guinea Ecuatorial a adherirse y ratificar </w:t>
      </w:r>
      <w:r>
        <w:rPr>
          <w:rtl w:val="0"/>
          <w:lang w:val="es-ES_tradnl"/>
        </w:rPr>
        <w:t>otros</w:t>
      </w:r>
      <w:r>
        <w:rPr>
          <w:rtl w:val="0"/>
          <w:lang w:val="es-ES_tradnl"/>
        </w:rPr>
        <w:t xml:space="preserve"> instrumentos internacionales de derechos humanos, </w:t>
      </w:r>
      <w:r>
        <w:rPr>
          <w:rtl w:val="0"/>
          <w:lang w:val="es-ES_tradnl"/>
        </w:rPr>
        <w:t xml:space="preserve">y a </w:t>
      </w:r>
      <w:r>
        <w:rPr>
          <w:rtl w:val="0"/>
          <w:lang w:val="es-ES_tradnl"/>
        </w:rPr>
        <w:t xml:space="preserve">continuar realizando esfuerzos </w:t>
      </w:r>
      <w:r>
        <w:rPr>
          <w:rtl w:val="0"/>
          <w:lang w:val="es-ES_tradnl"/>
        </w:rPr>
        <w:t>para</w:t>
      </w:r>
      <w:r>
        <w:rPr>
          <w:rtl w:val="0"/>
          <w:lang w:val="es-ES_tradnl"/>
        </w:rPr>
        <w:t xml:space="preserve"> garantizar los derechos humanos de todas las personas sin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A tales efectos, </w:t>
      </w:r>
      <w:r>
        <w:rPr>
          <w:rStyle w:val="Ninguno"/>
          <w:u w:val="single"/>
          <w:rtl w:val="0"/>
          <w:lang w:val="es-ES_tradnl"/>
        </w:rPr>
        <w:t>Uruguay se permite formular las siguientes recomendaciones:</w:t>
      </w:r>
    </w:p>
    <w:p>
      <w:pPr>
        <w:pStyle w:val="Normal.0"/>
        <w:spacing w:after="0"/>
        <w:jc w:val="both"/>
      </w:pPr>
    </w:p>
    <w:p>
      <w:pPr>
        <w:pStyle w:val="Normal.0"/>
        <w:numPr>
          <w:ilvl w:val="0"/>
          <w:numId w:val="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Considerar adherirse y ratificar el Estatuto de Roma, constitutivo de la Corte Penal Internacional.</w:t>
      </w:r>
    </w:p>
    <w:p>
      <w:pPr>
        <w:pStyle w:val="Normal.0"/>
        <w:spacing w:after="0"/>
        <w:jc w:val="both"/>
      </w:pPr>
    </w:p>
    <w:p>
      <w:pPr>
        <w:pStyle w:val="Normal.0"/>
        <w:numPr>
          <w:ilvl w:val="0"/>
          <w:numId w:val="2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 xml:space="preserve">Adoptar y aplicar leyes que reconozcan y protejan de manera efectiva a todos los defensores de derechos humanos y garantizar investigaciones exhaustivas, inmediatas e independientes sobre todas las denuncias de violaciones de derechos humanos contra </w:t>
      </w:r>
      <w:r>
        <w:rPr>
          <w:rtl w:val="0"/>
          <w:lang w:val="es-ES_tradnl"/>
        </w:rPr>
        <w:t>los mismos.</w:t>
      </w:r>
    </w:p>
    <w:p>
      <w:pPr>
        <w:pStyle w:val="Normal.0"/>
        <w:spacing w:after="0"/>
        <w:ind w:left="720" w:firstLine="0"/>
        <w:jc w:val="both"/>
      </w:pPr>
    </w:p>
    <w:p>
      <w:pPr>
        <w:pStyle w:val="Default"/>
        <w:jc w:val="both"/>
        <w:rPr>
          <w:rStyle w:val="Ninguno"/>
          <w:rFonts w:ascii="Calibri" w:cs="Calibri" w:hAnsi="Calibri" w:eastAsia="Calibri"/>
          <w:color w:val="000000"/>
          <w:sz w:val="22"/>
          <w:szCs w:val="22"/>
          <w:u w:val="single" w:color="000000"/>
        </w:rPr>
      </w:pP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Asimismo, Uruguay recibe con satisfacci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la Resoluci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N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 xml:space="preserve">º 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426 de 2014, por la que se dispone la amnist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a temporal contra la aplicaci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n de la pena de muerte. Para continuar transitando el camino hacia una abolici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 xml:space="preserve">n de la pena capital 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Style w:val="Ning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es-ES_tradnl"/>
        </w:rPr>
        <w:t>recomienda:</w:t>
      </w:r>
    </w:p>
    <w:p>
      <w:pPr>
        <w:pStyle w:val="Normal.0"/>
        <w:spacing w:after="0"/>
        <w:ind w:left="720" w:firstLine="0"/>
        <w:jc w:val="both"/>
      </w:pPr>
    </w:p>
    <w:p>
      <w:pPr>
        <w:pStyle w:val="Normal.0"/>
        <w:numPr>
          <w:ilvl w:val="0"/>
          <w:numId w:val="4"/>
        </w:numPr>
        <w:spacing w:after="0"/>
        <w:jc w:val="both"/>
        <w:rPr>
          <w:lang w:val="es-ES_tradnl"/>
        </w:rPr>
      </w:pPr>
      <w:r>
        <w:rPr>
          <w:rtl w:val="0"/>
          <w:lang w:val="es-ES_tradnl"/>
        </w:rPr>
        <w:t>Considerar ratificar el Segundo Protocolo Facultativo del Pacto Internacional de Derechos Civiles y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ticos dirigido a abolir la pena de muerte.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  <w:lang w:val="es-ES_tradnl"/>
        </w:rPr>
        <w:t>Saludamos a la Delegaci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Guinea Ecuatorial y les deseamos el mayor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xito en su examen. </w:t>
      </w: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  <w:r>
        <w:rPr>
          <w:rtl w:val="0"/>
          <w:lang w:val="es-ES_tradnl"/>
        </w:rPr>
        <w:t xml:space="preserve">Muchas gracias. </w:t>
      </w:r>
    </w:p>
    <w:p>
      <w:pPr>
        <w:pStyle w:val="Normal.0"/>
        <w:spacing w:after="0"/>
        <w:jc w:val="both"/>
        <w:rPr>
          <w:rStyle w:val="Ninguno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both"/>
        <w:rPr>
          <w:rStyle w:val="Ninguno"/>
          <w:color w:val="000000"/>
          <w:sz w:val="24"/>
          <w:szCs w:val="24"/>
          <w:u w:color="000000"/>
        </w:rPr>
      </w:pPr>
    </w:p>
    <w:p>
      <w:pPr>
        <w:pStyle w:val="Normal.0"/>
        <w:spacing w:after="0"/>
        <w:jc w:val="center"/>
      </w:pPr>
      <w:r>
        <w:rPr>
          <w:rStyle w:val="Ninguno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B2979-420E-4A1B-8943-51618FA12476}"/>
</file>

<file path=customXml/itemProps2.xml><?xml version="1.0" encoding="utf-8"?>
<ds:datastoreItem xmlns:ds="http://schemas.openxmlformats.org/officeDocument/2006/customXml" ds:itemID="{236B314A-8DFB-43C8-8043-B4694FD8B9EA}"/>
</file>

<file path=customXml/itemProps3.xml><?xml version="1.0" encoding="utf-8"?>
<ds:datastoreItem xmlns:ds="http://schemas.openxmlformats.org/officeDocument/2006/customXml" ds:itemID="{478469FB-BA48-4728-A4A4-31400B04593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