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tabs>
          <w:tab w:val="left" w:pos="709" w:leader="none"/>
          <w:tab w:val="left" w:pos="2475" w:leader="none"/>
        </w:tabs>
        <w:jc w:val="both"/>
        <w:rPr>
          <w:b w:val="false"/>
          <w:bCs w:val="false"/>
        </w:rPr>
      </w:pPr>
      <w:r>
        <w:rPr>
          <w:b w:val="false"/>
          <w:bCs w:val="false"/>
        </w:rPr>
      </w:r>
    </w:p>
    <w:tbl>
      <w:tblPr>
        <w:jc w:val="left"/>
        <w:tblInd w:w="-175" w:type="dxa"/>
        <w:tblBorders>
          <w:top w:val="nil"/>
          <w:left w:val="nil"/>
          <w:bottom w:val="nil"/>
          <w:insideH w:val="nil"/>
          <w:right w:val="nil"/>
          <w:insideV w:val="nil"/>
        </w:tblBorders>
        <w:tblCellMar>
          <w:top w:w="0" w:type="dxa"/>
          <w:left w:w="108" w:type="dxa"/>
          <w:bottom w:w="0" w:type="dxa"/>
          <w:right w:w="108" w:type="dxa"/>
        </w:tblCellMar>
      </w:tblPr>
      <w:tblGrid>
        <w:gridCol w:w="4487"/>
        <w:gridCol w:w="1607"/>
        <w:gridCol w:w="4221"/>
      </w:tblGrid>
      <w:tr>
        <w:trPr>
          <w:cantSplit w:val="false"/>
        </w:trPr>
        <w:tc>
          <w:tcPr>
            <w:tcW w:w="4487" w:type="dxa"/>
            <w:tcBorders>
              <w:top w:val="nil"/>
              <w:left w:val="nil"/>
              <w:bottom w:val="nil"/>
              <w:insideH w:val="nil"/>
              <w:right w:val="nil"/>
              <w:insideV w:val="nil"/>
            </w:tcBorders>
            <w:shd w:fill="FFFFFF" w:val="clear"/>
          </w:tcPr>
          <w:p>
            <w:pPr>
              <w:pStyle w:val="Entte"/>
              <w:spacing w:before="0" w:after="0"/>
              <w:rPr>
                <w:rFonts w:eastAsia="WenQuanYi Micro Hei" w:cs="Times New Roman" w:ascii="Times New Roman" w:hAnsi="Times New Roman"/>
                <w:b w:val="false"/>
                <w:bCs w:val="false"/>
                <w:lang w:val="fr-FR" w:eastAsia="zh-CN" w:bidi="hi-IN"/>
              </w:rPr>
            </w:pPr>
            <w:r>
              <w:rPr>
                <w:rFonts w:eastAsia="WenQuanYi Micro Hei" w:cs="Times New Roman" w:ascii="Times New Roman" w:hAnsi="Times New Roman"/>
                <w:b w:val="false"/>
                <w:bCs w:val="false"/>
                <w:lang w:val="fr-FR" w:eastAsia="zh-CN" w:bidi="hi-IN"/>
              </w:rPr>
              <w:t>A M B A S S A D E   DU TOGO</w:t>
            </w:r>
          </w:p>
          <w:p>
            <w:pPr>
              <w:pStyle w:val="Normal"/>
              <w:widowControl w:val="false"/>
              <w:spacing w:before="0" w:after="0"/>
              <w:jc w:val="both"/>
              <w:textAlignment w:val="baseline"/>
              <w:rPr>
                <w:rFonts w:eastAsia="WenQuanYi Micro Hei" w:cs="Times New Roman" w:ascii="Times New Roman" w:hAnsi="Times New Roman"/>
                <w:b w:val="false"/>
                <w:bCs w:val="false"/>
                <w:i/>
                <w:sz w:val="18"/>
                <w:szCs w:val="18"/>
                <w:lang w:val="fr-FR" w:eastAsia="zh-CN" w:bidi="hi-IN"/>
              </w:rPr>
            </w:pPr>
            <w:r>
              <w:rPr>
                <w:rFonts w:eastAsia="WenQuanYi Micro Hei" w:cs="Times New Roman" w:ascii="Times New Roman" w:hAnsi="Times New Roman"/>
                <w:b w:val="false"/>
                <w:bCs w:val="false"/>
                <w:i/>
                <w:sz w:val="18"/>
                <w:szCs w:val="18"/>
                <w:lang w:val="fr-FR" w:eastAsia="zh-CN" w:bidi="hi-IN"/>
              </w:rPr>
              <w:t>Mission Permanente auprès de l'Office des Nations Unies, de l'Organisation Mondiale du Commerce et des autres Organisations Internationales à Genève</w:t>
            </w:r>
          </w:p>
        </w:tc>
        <w:tc>
          <w:tcPr>
            <w:tcW w:w="1607" w:type="dxa"/>
            <w:tcBorders>
              <w:top w:val="nil"/>
              <w:left w:val="nil"/>
              <w:bottom w:val="nil"/>
              <w:insideH w:val="nil"/>
              <w:right w:val="nil"/>
              <w:insideV w:val="nil"/>
            </w:tcBorders>
            <w:shd w:fill="FFFFFF" w:val="clear"/>
          </w:tcPr>
          <w:p>
            <w:pPr>
              <w:pStyle w:val="Entte"/>
              <w:spacing w:before="0" w:after="0"/>
              <w:jc w:val="center"/>
              <w:rPr/>
            </w:pPr>
            <w:r>
              <w:rPr/>
              <w:drawing>
                <wp:inline distT="0" distB="0" distL="0" distR="0">
                  <wp:extent cx="685165" cy="108013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685165" cy="1080135"/>
                          </a:xfrm>
                          <a:prstGeom prst="rect">
                            <a:avLst/>
                          </a:prstGeom>
                          <a:noFill/>
                          <a:ln w="9525">
                            <a:noFill/>
                            <a:miter lim="800000"/>
                            <a:headEnd/>
                            <a:tailEnd/>
                          </a:ln>
                        </pic:spPr>
                      </pic:pic>
                    </a:graphicData>
                  </a:graphic>
                </wp:inline>
              </w:drawing>
            </w:r>
          </w:p>
        </w:tc>
        <w:tc>
          <w:tcPr>
            <w:tcW w:w="4221" w:type="dxa"/>
            <w:tcBorders>
              <w:top w:val="nil"/>
              <w:left w:val="nil"/>
              <w:bottom w:val="nil"/>
              <w:insideH w:val="nil"/>
              <w:right w:val="nil"/>
              <w:insideV w:val="nil"/>
            </w:tcBorders>
            <w:shd w:fill="FFFFFF" w:val="clear"/>
          </w:tcPr>
          <w:p>
            <w:pPr>
              <w:pStyle w:val="Entte"/>
              <w:spacing w:before="0" w:after="0"/>
              <w:rPr>
                <w:rFonts w:eastAsia="WenQuanYi Micro Hei" w:cs="Times New Roman" w:ascii="Times New Roman" w:hAnsi="Times New Roman"/>
                <w:b w:val="false"/>
                <w:bCs w:val="false"/>
                <w:i/>
                <w:lang w:val="fr-FR" w:eastAsia="zh-CN" w:bidi="hi-IN"/>
              </w:rPr>
            </w:pPr>
            <w:r>
              <w:rPr>
                <w:rFonts w:eastAsia="Arial" w:cs="Arial" w:ascii="Arial" w:hAnsi="Arial"/>
                <w:b w:val="false"/>
                <w:bCs w:val="false"/>
                <w:lang w:val="fr-FR" w:eastAsia="zh-CN" w:bidi="hi-IN"/>
              </w:rPr>
              <w:t xml:space="preserve">     </w:t>
            </w:r>
            <w:r>
              <w:rPr>
                <w:rFonts w:eastAsia="WenQuanYi Micro Hei" w:cs="Times New Roman" w:ascii="Times New Roman" w:hAnsi="Times New Roman"/>
                <w:b w:val="false"/>
                <w:bCs w:val="false"/>
                <w:lang w:val="fr-FR" w:eastAsia="zh-CN" w:bidi="hi-IN"/>
              </w:rPr>
              <w:t xml:space="preserve">REPUBLIQUE TOGOLAISE                 </w:t>
            </w:r>
            <w:r>
              <w:rPr>
                <w:rFonts w:eastAsia="WenQuanYi Micro Hei" w:cs="Times New Roman" w:ascii="Times New Roman" w:hAnsi="Times New Roman"/>
                <w:b w:val="false"/>
                <w:bCs w:val="false"/>
                <w:i/>
                <w:lang w:val="fr-FR" w:eastAsia="zh-CN" w:bidi="hi-IN"/>
              </w:rPr>
              <w:t>Travail- Liberté-Patrie</w:t>
            </w:r>
          </w:p>
        </w:tc>
      </w:tr>
      <w:tr>
        <w:trPr>
          <w:cantSplit w:val="false"/>
        </w:trPr>
        <w:tc>
          <w:tcPr>
            <w:tcW w:w="4487" w:type="dxa"/>
            <w:tcBorders>
              <w:top w:val="nil"/>
              <w:left w:val="nil"/>
              <w:bottom w:val="nil"/>
              <w:insideH w:val="nil"/>
              <w:right w:val="nil"/>
              <w:insideV w:val="nil"/>
            </w:tcBorders>
            <w:shd w:fill="FFFFFF" w:val="clear"/>
          </w:tcPr>
          <w:p>
            <w:pPr>
              <w:pStyle w:val="Entte"/>
              <w:spacing w:before="0" w:after="0"/>
              <w:rPr>
                <w:rFonts w:eastAsia="WenQuanYi Micro Hei" w:cs="Times New Roman" w:ascii="Times New Roman" w:hAnsi="Times New Roman"/>
                <w:b w:val="false"/>
                <w:bCs w:val="false"/>
                <w:lang w:val="fr-FR" w:eastAsia="zh-CN" w:bidi="hi-IN"/>
              </w:rPr>
            </w:pPr>
            <w:r>
              <w:rPr>
                <w:rFonts w:eastAsia="WenQuanYi Micro Hei" w:cs="Times New Roman" w:ascii="Times New Roman" w:hAnsi="Times New Roman"/>
                <w:b w:val="false"/>
                <w:bCs w:val="false"/>
                <w:lang w:val="fr-FR" w:eastAsia="zh-CN" w:bidi="hi-IN"/>
              </w:rPr>
            </w:r>
          </w:p>
        </w:tc>
        <w:tc>
          <w:tcPr>
            <w:tcW w:w="1607" w:type="dxa"/>
            <w:tcBorders>
              <w:top w:val="nil"/>
              <w:left w:val="nil"/>
              <w:bottom w:val="nil"/>
              <w:insideH w:val="nil"/>
              <w:right w:val="nil"/>
              <w:insideV w:val="nil"/>
            </w:tcBorders>
            <w:shd w:fill="FFFFFF" w:val="clear"/>
          </w:tcPr>
          <w:p>
            <w:pPr>
              <w:pStyle w:val="Entte"/>
              <w:spacing w:before="0" w:after="0"/>
              <w:jc w:val="center"/>
              <w:rPr>
                <w:b w:val="false"/>
                <w:bCs w:val="false"/>
              </w:rPr>
            </w:pPr>
            <w:r>
              <w:rPr>
                <w:b w:val="false"/>
                <w:bCs w:val="false"/>
              </w:rPr>
            </w:r>
          </w:p>
        </w:tc>
        <w:tc>
          <w:tcPr>
            <w:tcW w:w="4221" w:type="dxa"/>
            <w:tcBorders>
              <w:top w:val="nil"/>
              <w:left w:val="nil"/>
              <w:bottom w:val="nil"/>
              <w:insideH w:val="nil"/>
              <w:right w:val="nil"/>
              <w:insideV w:val="nil"/>
            </w:tcBorders>
            <w:shd w:fill="FFFFFF" w:val="clear"/>
          </w:tcPr>
          <w:p>
            <w:pPr>
              <w:pStyle w:val="Entte"/>
              <w:spacing w:before="0" w:after="0"/>
              <w:rPr>
                <w:b w:val="false"/>
                <w:bCs w:val="false"/>
              </w:rPr>
            </w:pPr>
            <w:r>
              <w:rPr>
                <w:b w:val="false"/>
                <w:bCs w:val="false"/>
              </w:rPr>
            </w:r>
          </w:p>
        </w:tc>
      </w:tr>
    </w:tbl>
    <w:p>
      <w:pPr>
        <w:pStyle w:val="Normal"/>
        <w:rPr>
          <w:b w:val="false"/>
          <w:bCs w:val="false"/>
        </w:rPr>
      </w:pPr>
      <w:r>
        <w:rPr>
          <w:b w:val="false"/>
          <w:bCs w:val="false"/>
        </w:rPr>
      </w:r>
    </w:p>
    <w:p>
      <w:pPr>
        <w:pStyle w:val="Normal"/>
        <w:rPr>
          <w:b w:val="false"/>
          <w:bCs w:val="false"/>
        </w:rPr>
      </w:pPr>
      <w:r>
        <w:rPr>
          <w:b w:val="false"/>
          <w:bCs w:val="false"/>
        </w:rPr>
      </w:r>
    </w:p>
    <w:p>
      <w:pPr>
        <w:pStyle w:val="Normal"/>
        <w:rPr>
          <w:b w:val="false"/>
          <w:bCs w:val="false"/>
        </w:rPr>
      </w:pPr>
      <w:r>
        <w:rPr>
          <w:b w:val="false"/>
          <w:bCs w:val="false"/>
        </w:rPr>
      </w:r>
    </w:p>
    <w:p>
      <w:pPr>
        <w:pStyle w:val="Normal"/>
        <w:jc w:val="center"/>
        <w:rPr>
          <w:rFonts w:cs="Times New Roman" w:ascii="Times New Roman" w:hAnsi="Times New Roman"/>
          <w:b/>
          <w:bCs/>
          <w:sz w:val="32"/>
          <w:szCs w:val="32"/>
          <w:lang w:val="fr-FR"/>
        </w:rPr>
      </w:pPr>
      <w:r>
        <w:rPr>
          <w:rFonts w:cs="Liberation Serif"/>
          <w:b w:val="false"/>
          <w:bCs w:val="false"/>
          <w:sz w:val="28"/>
          <w:szCs w:val="28"/>
        </w:rPr>
        <w:t xml:space="preserve">   </w:t>
      </w:r>
      <w:r>
        <w:rPr>
          <w:rFonts w:cs="Liberation Serif"/>
          <w:b w:val="false"/>
          <w:bCs w:val="false"/>
          <w:sz w:val="32"/>
          <w:szCs w:val="32"/>
        </w:rPr>
        <w:t xml:space="preserve">    </w:t>
      </w:r>
      <w:r>
        <w:rPr>
          <w:rFonts w:cs="Times New Roman" w:ascii="Times New Roman" w:hAnsi="Times New Roman"/>
          <w:b/>
          <w:bCs/>
          <w:sz w:val="32"/>
          <w:szCs w:val="32"/>
          <w:lang w:val="fr-FR"/>
        </w:rPr>
        <w:t>Conseil des droits de l’homme</w:t>
      </w:r>
    </w:p>
    <w:p>
      <w:pPr>
        <w:pStyle w:val="Normal"/>
        <w:jc w:val="center"/>
        <w:rPr>
          <w:rFonts w:ascii="Times New Roman" w:hAnsi="Times New Roman"/>
          <w:sz w:val="32"/>
          <w:szCs w:val="32"/>
        </w:rPr>
      </w:pPr>
      <w:r>
        <w:rPr>
          <w:rFonts w:ascii="Times New Roman" w:hAnsi="Times New Roman"/>
          <w:sz w:val="32"/>
          <w:szCs w:val="32"/>
        </w:rPr>
      </w:r>
    </w:p>
    <w:p>
      <w:pPr>
        <w:pStyle w:val="Normal"/>
        <w:jc w:val="center"/>
        <w:rPr>
          <w:rFonts w:ascii="Times New Roman" w:hAnsi="Times New Roman"/>
          <w:sz w:val="32"/>
          <w:szCs w:val="32"/>
          <w:lang w:val="fr-CH" w:eastAsia="en-US" w:bidi="ar-SA"/>
        </w:rPr>
      </w:pPr>
      <w:r>
        <w:rPr>
          <w:rFonts w:ascii="Times New Roman" w:hAnsi="Times New Roman"/>
          <w:sz w:val="32"/>
          <w:szCs w:val="32"/>
          <w:lang w:val="fr-CH" w:eastAsia="en-US" w:bidi="ar-SA"/>
        </w:rPr>
      </w:r>
    </w:p>
    <w:p>
      <w:pPr>
        <w:pStyle w:val="Normal"/>
        <w:jc w:val="center"/>
        <w:rPr>
          <w:rFonts w:ascii="Times New Roman" w:hAnsi="Times New Roman"/>
          <w:b/>
          <w:sz w:val="32"/>
          <w:szCs w:val="32"/>
          <w:lang w:val="fr-CH" w:eastAsia="en-US" w:bidi="ar-SA"/>
        </w:rPr>
      </w:pPr>
      <w:r>
        <w:rPr>
          <w:rFonts w:ascii="Times New Roman" w:hAnsi="Times New Roman"/>
          <w:b/>
          <w:position w:val="0"/>
          <w:sz w:val="32"/>
          <w:sz w:val="32"/>
          <w:szCs w:val="32"/>
          <w:vertAlign w:val="baseline"/>
          <w:lang w:val="fr-CH" w:eastAsia="en-US" w:bidi="ar-SA"/>
        </w:rPr>
        <w:t>32</w:t>
      </w:r>
      <w:r>
        <w:rPr>
          <w:rFonts w:ascii="Times New Roman" w:hAnsi="Times New Roman"/>
          <w:b/>
          <w:sz w:val="32"/>
          <w:szCs w:val="32"/>
          <w:vertAlign w:val="superscript"/>
          <w:lang w:val="fr-CH" w:eastAsia="en-US" w:bidi="ar-SA"/>
        </w:rPr>
        <w:t>ème</w:t>
      </w:r>
      <w:r>
        <w:rPr>
          <w:rFonts w:ascii="Times New Roman" w:hAnsi="Times New Roman"/>
          <w:b/>
          <w:sz w:val="32"/>
          <w:szCs w:val="32"/>
          <w:lang w:val="fr-CH" w:eastAsia="en-US" w:bidi="ar-SA"/>
        </w:rPr>
        <w:t xml:space="preserve"> Session du groupe de travail de l'Examen Périodique Universel (EPU)</w:t>
      </w:r>
    </w:p>
    <w:p>
      <w:pPr>
        <w:pStyle w:val="Normal"/>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t>21 janvier au 1</w:t>
      </w:r>
      <w:r>
        <w:rPr>
          <w:rFonts w:ascii="Times New Roman" w:hAnsi="Times New Roman"/>
          <w:b/>
          <w:sz w:val="32"/>
          <w:szCs w:val="32"/>
          <w:vertAlign w:val="superscript"/>
          <w:lang w:val="fr-CH" w:eastAsia="en-US" w:bidi="ar-SA"/>
        </w:rPr>
        <w:t>er</w:t>
      </w:r>
      <w:r>
        <w:rPr>
          <w:rFonts w:ascii="Times New Roman" w:hAnsi="Times New Roman"/>
          <w:b/>
          <w:sz w:val="32"/>
          <w:szCs w:val="32"/>
          <w:lang w:val="fr-CH" w:eastAsia="en-US" w:bidi="ar-SA"/>
        </w:rPr>
        <w:t xml:space="preserve"> février 2019</w:t>
      </w:r>
    </w:p>
    <w:p>
      <w:pPr>
        <w:pStyle w:val="Normal"/>
        <w:jc w:val="center"/>
        <w:rPr>
          <w:rFonts w:ascii="Times New Roman" w:hAnsi="Times New Roman"/>
          <w:sz w:val="32"/>
          <w:szCs w:val="32"/>
          <w:lang w:val="fr-CH" w:eastAsia="en-US" w:bidi="ar-SA"/>
        </w:rPr>
      </w:pPr>
      <w:r>
        <w:rPr>
          <w:rFonts w:ascii="Times New Roman" w:hAnsi="Times New Roman"/>
          <w:sz w:val="32"/>
          <w:szCs w:val="32"/>
          <w:lang w:val="fr-CH" w:eastAsia="en-US" w:bidi="ar-SA"/>
        </w:rPr>
      </w:r>
    </w:p>
    <w:p>
      <w:pPr>
        <w:pStyle w:val="Normal"/>
        <w:jc w:val="center"/>
        <w:rPr>
          <w:rFonts w:ascii="Times New Roman" w:hAnsi="Times New Roman"/>
          <w:sz w:val="32"/>
          <w:szCs w:val="32"/>
          <w:lang w:val="fr-CH" w:eastAsia="en-US" w:bidi="ar-SA"/>
        </w:rPr>
      </w:pPr>
      <w:r>
        <w:rPr>
          <w:rFonts w:ascii="Times New Roman" w:hAnsi="Times New Roman"/>
          <w:sz w:val="32"/>
          <w:szCs w:val="32"/>
          <w:lang w:val="fr-CH" w:eastAsia="en-US" w:bidi="ar-SA"/>
        </w:rPr>
      </w:r>
    </w:p>
    <w:p>
      <w:pPr>
        <w:pStyle w:val="Normal"/>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t xml:space="preserve">Examen du rapport de </w:t>
      </w:r>
      <w:r>
        <w:rPr>
          <w:rFonts w:ascii="Times New Roman" w:hAnsi="Times New Roman"/>
          <w:b/>
          <w:sz w:val="32"/>
          <w:szCs w:val="32"/>
          <w:lang w:val="fr-CH" w:eastAsia="en-US" w:bidi="ar-SA"/>
        </w:rPr>
        <w:t>l’Érythrée</w:t>
      </w:r>
    </w:p>
    <w:p>
      <w:pPr>
        <w:pStyle w:val="Normal"/>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r>
    </w:p>
    <w:p>
      <w:pPr>
        <w:pStyle w:val="Normal"/>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r>
    </w:p>
    <w:p>
      <w:pPr>
        <w:pStyle w:val="Normal"/>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r>
    </w:p>
    <w:p>
      <w:pPr>
        <w:pStyle w:val="Normal"/>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r>
    </w:p>
    <w:p>
      <w:pPr>
        <w:pStyle w:val="Normal"/>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r>
    </w:p>
    <w:p>
      <w:pPr>
        <w:pStyle w:val="Normal"/>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r>
    </w:p>
    <w:p>
      <w:pPr>
        <w:pStyle w:val="Normal"/>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r>
    </w:p>
    <w:p>
      <w:pPr>
        <w:pStyle w:val="Normal"/>
        <w:spacing w:lineRule="auto" w:line="276"/>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t>Déclaration de la délégation togolaise</w:t>
      </w:r>
    </w:p>
    <w:p>
      <w:pPr>
        <w:pStyle w:val="Normal"/>
        <w:spacing w:lineRule="auto" w:line="276"/>
        <w:jc w:val="center"/>
        <w:rPr>
          <w:rFonts w:ascii="Times New Roman" w:hAnsi="Times New Roman"/>
          <w:sz w:val="32"/>
          <w:szCs w:val="32"/>
          <w:lang w:val="fr-CH" w:eastAsia="en-US" w:bidi="ar-SA"/>
        </w:rPr>
      </w:pPr>
      <w:r>
        <w:rPr>
          <w:rFonts w:ascii="Times New Roman" w:hAnsi="Times New Roman"/>
          <w:sz w:val="32"/>
          <w:szCs w:val="32"/>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tab/>
        <w:tab/>
        <w:tab/>
        <w:tab/>
        <w:tab/>
        <w:tab/>
        <w:t>Genève, le 28 janvier 2019</w:t>
      </w:r>
    </w:p>
    <w:p>
      <w:pPr>
        <w:pStyle w:val="Normal"/>
        <w:widowControl/>
        <w:suppressAutoHyphens w:val="false"/>
        <w:spacing w:lineRule="auto" w:line="276" w:before="0" w:after="200"/>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tab/>
        <w:tab/>
        <w:tab/>
        <w:tab/>
        <w:tab/>
        <w:tab/>
        <w:t>(14h30-18h)</w:t>
      </w:r>
    </w:p>
    <w:p>
      <w:pPr>
        <w:pStyle w:val="Normal"/>
        <w:widowControl/>
        <w:suppressAutoHyphens w:val="false"/>
        <w:spacing w:lineRule="auto" w:line="276" w:before="0" w:after="200"/>
        <w:jc w:val="both"/>
        <w:rPr/>
      </w:pPr>
      <w:r>
        <w:rPr/>
      </w:r>
    </w:p>
    <w:p>
      <w:pPr>
        <w:pStyle w:val="Normal"/>
        <w:widowControl/>
        <w:suppressAutoHyphens w:val="false"/>
        <w:spacing w:lineRule="auto" w:line="276" w:before="0" w:after="200"/>
        <w:jc w:val="both"/>
        <w:rPr>
          <w:rFonts w:ascii="Times New Roman" w:hAnsi="Times New Roman"/>
          <w:b/>
          <w:bCs/>
          <w:i/>
          <w:sz w:val="32"/>
          <w:szCs w:val="32"/>
          <w:lang w:val="fr-CH" w:eastAsia="en-US" w:bidi="ar-SA"/>
        </w:rPr>
      </w:pPr>
      <w:r>
        <w:rPr>
          <w:rFonts w:ascii="Times New Roman" w:hAnsi="Times New Roman"/>
          <w:b/>
          <w:bCs/>
          <w:i/>
          <w:sz w:val="32"/>
          <w:szCs w:val="32"/>
          <w:lang w:val="fr-CH" w:eastAsia="en-US" w:bidi="ar-SA"/>
        </w:rPr>
        <w:t>Monsieur le Président,</w:t>
      </w:r>
    </w:p>
    <w:p>
      <w:pPr>
        <w:pStyle w:val="Normal"/>
        <w:widowControl/>
        <w:suppressAutoHyphens w:val="false"/>
        <w:spacing w:lineRule="auto" w:line="276" w:before="0" w:after="200"/>
        <w:jc w:val="both"/>
        <w:rPr>
          <w:rFonts w:ascii="Times New Roman" w:hAnsi="Times New Roman"/>
          <w:b w:val="false"/>
          <w:bCs w:val="false"/>
          <w:i w:val="false"/>
          <w:iCs w:val="false"/>
          <w:sz w:val="30"/>
          <w:szCs w:val="30"/>
          <w:lang w:val="fr-CH" w:eastAsia="en-US" w:bidi="ar-SA"/>
        </w:rPr>
      </w:pPr>
      <w:r>
        <w:rPr>
          <w:rFonts w:ascii="Times New Roman" w:hAnsi="Times New Roman"/>
          <w:b w:val="false"/>
          <w:bCs w:val="false"/>
          <w:i w:val="false"/>
          <w:iCs w:val="false"/>
          <w:sz w:val="30"/>
          <w:szCs w:val="30"/>
          <w:lang w:val="fr-CH" w:eastAsia="en-US" w:bidi="ar-SA"/>
        </w:rPr>
        <w:t>La délégation togolaise souhaite la cordiale bienvenue à la délégation Érythréenne et la remercie pour les informations complémentaires contenues dans sa déclaration liminaire.</w:t>
      </w:r>
    </w:p>
    <w:p>
      <w:pPr>
        <w:pStyle w:val="Normal"/>
        <w:widowControl/>
        <w:suppressAutoHyphens w:val="false"/>
        <w:spacing w:lineRule="auto" w:line="276" w:before="0" w:after="200"/>
        <w:jc w:val="both"/>
        <w:rPr>
          <w:rFonts w:ascii="Times New Roman" w:hAnsi="Times New Roman"/>
          <w:sz w:val="30"/>
          <w:szCs w:val="30"/>
          <w:lang w:val="fr-CH" w:eastAsia="en-US" w:bidi="ar-SA"/>
        </w:rPr>
      </w:pPr>
      <w:r>
        <w:rPr>
          <w:rFonts w:ascii="Times New Roman" w:hAnsi="Times New Roman"/>
          <w:sz w:val="30"/>
          <w:szCs w:val="30"/>
          <w:lang w:val="fr-CH" w:eastAsia="en-US" w:bidi="ar-SA"/>
        </w:rPr>
        <w:t>Le Togo salue l'adoption de plusieurs programmes et stratégies de développement entre autres le</w:t>
      </w:r>
      <w:r>
        <w:rPr>
          <w:rFonts w:ascii="Times New Roman" w:hAnsi="Times New Roman"/>
          <w:sz w:val="30"/>
          <w:szCs w:val="30"/>
        </w:rPr>
        <w:t xml:space="preserve"> programme de développement rural intégré, le programme de développement côtier, la stratégie intégrée du secteur social aux fins de la réalisation des droits économiques, sociaux et culturels et le Plan de développement indicatif national.</w:t>
      </w:r>
      <w:r>
        <w:rPr>
          <w:rFonts w:ascii="Times New Roman" w:hAnsi="Times New Roman"/>
          <w:sz w:val="30"/>
          <w:szCs w:val="30"/>
          <w:lang w:val="fr-CH" w:eastAsia="en-US" w:bidi="ar-SA"/>
        </w:rPr>
        <w:t xml:space="preserve"> </w:t>
      </w:r>
    </w:p>
    <w:p>
      <w:pPr>
        <w:pStyle w:val="Normal"/>
        <w:widowControl/>
        <w:suppressAutoHyphens w:val="false"/>
        <w:spacing w:lineRule="auto" w:line="276" w:before="0" w:after="200"/>
        <w:jc w:val="both"/>
        <w:rPr>
          <w:rFonts w:ascii="Times New Roman" w:hAnsi="Times New Roman"/>
          <w:sz w:val="30"/>
          <w:szCs w:val="30"/>
          <w:lang w:val="fr-CH" w:eastAsia="en-US" w:bidi="ar-SA"/>
        </w:rPr>
      </w:pPr>
      <w:r>
        <w:rPr>
          <w:rFonts w:ascii="Times New Roman" w:hAnsi="Times New Roman"/>
          <w:sz w:val="30"/>
          <w:szCs w:val="30"/>
          <w:lang w:val="fr-CH" w:eastAsia="en-US" w:bidi="ar-SA"/>
        </w:rPr>
        <w:t>Le Togo souhaiterait formuler les recommandations suivantes :</w:t>
      </w:r>
    </w:p>
    <w:p>
      <w:pPr>
        <w:pStyle w:val="Normal"/>
        <w:widowControl/>
        <w:suppressAutoHyphens w:val="false"/>
        <w:spacing w:lineRule="auto" w:line="276" w:before="0" w:after="200"/>
        <w:jc w:val="both"/>
        <w:rPr>
          <w:rFonts w:ascii="Times New Roman" w:hAnsi="Times New Roman"/>
          <w:b/>
          <w:bCs/>
          <w:sz w:val="30"/>
          <w:szCs w:val="30"/>
        </w:rPr>
      </w:pPr>
      <w:r>
        <w:rPr>
          <w:rFonts w:ascii="Times New Roman" w:hAnsi="Times New Roman"/>
          <w:b/>
          <w:bCs/>
          <w:sz w:val="30"/>
          <w:szCs w:val="30"/>
        </w:rPr>
        <w:t>1- ratifier la Convention relative aux droits des personnes handicapées,</w:t>
      </w:r>
    </w:p>
    <w:p>
      <w:pPr>
        <w:pStyle w:val="Normal"/>
        <w:widowControl/>
        <w:suppressAutoHyphens w:val="false"/>
        <w:spacing w:lineRule="auto" w:line="276" w:before="0" w:after="200"/>
        <w:jc w:val="both"/>
        <w:rPr>
          <w:rFonts w:ascii="Times New Roman" w:hAnsi="Times New Roman"/>
          <w:b/>
          <w:bCs/>
          <w:sz w:val="30"/>
          <w:szCs w:val="30"/>
        </w:rPr>
      </w:pPr>
      <w:r>
        <w:rPr>
          <w:rFonts w:ascii="Times New Roman" w:hAnsi="Times New Roman"/>
          <w:b/>
          <w:bCs/>
          <w:sz w:val="30"/>
          <w:szCs w:val="30"/>
        </w:rPr>
        <w:t xml:space="preserve">2- ratifier la Convention de La Haye sur la protection des enfants et la coopération en matière d’adoption internationale, </w:t>
      </w:r>
    </w:p>
    <w:p>
      <w:pPr>
        <w:pStyle w:val="Normal"/>
        <w:widowControl/>
        <w:suppressAutoHyphens w:val="false"/>
        <w:spacing w:lineRule="auto" w:line="276" w:before="0" w:after="200"/>
        <w:jc w:val="both"/>
        <w:rPr>
          <w:rFonts w:ascii="Times New Roman" w:hAnsi="Times New Roman"/>
          <w:b/>
          <w:bCs/>
          <w:sz w:val="30"/>
          <w:szCs w:val="30"/>
        </w:rPr>
      </w:pPr>
      <w:r>
        <w:rPr>
          <w:rFonts w:ascii="Times New Roman" w:hAnsi="Times New Roman"/>
          <w:b/>
          <w:bCs/>
          <w:sz w:val="30"/>
          <w:szCs w:val="30"/>
        </w:rPr>
        <w:t>3- mettre en place une institution nationale indépendante de défense des droits de l’homme pleinement conforme aux principes de Paris et dotée de ressources humaines et financières suffisantes ;</w:t>
      </w:r>
    </w:p>
    <w:p>
      <w:pPr>
        <w:pStyle w:val="Normal"/>
        <w:widowControl/>
        <w:suppressAutoHyphens w:val="false"/>
        <w:spacing w:lineRule="auto" w:line="276" w:before="0" w:after="200"/>
        <w:jc w:val="both"/>
        <w:rPr>
          <w:rFonts w:ascii="Times New Roman" w:hAnsi="Times New Roman"/>
          <w:sz w:val="30"/>
          <w:szCs w:val="30"/>
        </w:rPr>
      </w:pPr>
      <w:r>
        <w:rPr>
          <w:rFonts w:ascii="Times New Roman" w:hAnsi="Times New Roman"/>
          <w:sz w:val="30"/>
          <w:szCs w:val="30"/>
        </w:rPr>
        <w:t>La délégation togolaise souhaite plein succès à l’Érythrée dans la mise en œuvre des recommandations issues du présent EPU</w:t>
      </w:r>
    </w:p>
    <w:p>
      <w:pPr>
        <w:pStyle w:val="Normal"/>
        <w:widowControl/>
        <w:suppressAutoHyphens w:val="false"/>
        <w:spacing w:lineRule="auto" w:line="276" w:before="0" w:after="200"/>
        <w:jc w:val="both"/>
        <w:rPr/>
      </w:pPr>
      <w:r>
        <w:rPr/>
      </w:r>
    </w:p>
    <w:p>
      <w:pPr>
        <w:pStyle w:val="Normal"/>
        <w:widowControl/>
        <w:suppressAutoHyphens w:val="false"/>
        <w:spacing w:lineRule="auto" w:line="276" w:before="0" w:after="200"/>
        <w:jc w:val="center"/>
        <w:rPr>
          <w:rFonts w:cs="Liberation Serif" w:ascii="Times New Roman" w:hAnsi="Times New Roman"/>
          <w:b/>
          <w:bCs/>
          <w:sz w:val="28"/>
          <w:szCs w:val="28"/>
          <w:lang w:val="fr-CH" w:eastAsia="en-US" w:bidi="ar-SA"/>
        </w:rPr>
      </w:pPr>
      <w:r>
        <w:rPr>
          <w:rFonts w:cs="Liberation Serif" w:ascii="Times New Roman" w:hAnsi="Times New Roman"/>
          <w:b/>
          <w:bCs/>
          <w:sz w:val="28"/>
          <w:szCs w:val="28"/>
          <w:lang w:val="fr-CH" w:eastAsia="en-US" w:bidi="ar-SA"/>
        </w:rPr>
        <w:t xml:space="preserve">Je vous remercie </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w:docDefaults>
    <w:rPrDefault>
      <w:rPr>
        <w:rFonts w:ascii="Liberation Serif" w:hAnsi="Liberation Serif" w:eastAsia="Noto Sans CJK SC Regular" w:cs="FreeSans"/>
        <w:sz w:val="24"/>
        <w:szCs w:val="24"/>
        <w:lang w:val="fr-CH" w:eastAsia="zh-CN" w:bidi="hi-IN"/>
      </w:rPr>
    </w:rPrDefault>
    <w:pPrDefault>
      <w:pPr>
        <w:textAlignment w:val="baseline"/>
      </w:pPr>
    </w:pPrDefault>
  </w:docDefaults>
  <w:latentStyles w:count="381" w:defQFormat="0" w:defUnhideWhenUsed="0" w:defSemiHidden="0" w:defUIPriority="99" w:defLockedState="0">
    <w:lsdException w:qFormat="1" w:uiPriority="0" w:name="Normal"/>
    <w:lsdException w:qFormat="1" w:uiPriority="9" w:name="heading 1"/>
    <w:lsdException w:unhideWhenUsed="1" w:semiHidden="1" w:qFormat="1" w:uiPriority="9" w:name="heading 2"/>
    <w:lsdException w:unhideWhenUsed="1" w:semiHidden="1" w:qFormat="1" w:uiPriority="9" w:name="heading 3"/>
    <w:lsdException w:unhideWhenUsed="1" w:semiHidden="1" w:qFormat="1" w:uiPriority="9" w:name="heading 4"/>
    <w:lsdException w:unhideWhenUsed="1" w:semiHidden="1" w:qFormat="1" w:uiPriority="9" w:name="heading 5"/>
    <w:lsdException w:unhideWhenUsed="1" w:semiHidden="1" w:qFormat="1" w:uiPriority="9" w:name="heading 6"/>
    <w:lsdException w:unhideWhenUsed="1" w:semiHidden="1" w:qFormat="1" w:uiPriority="9" w:name="heading 7"/>
    <w:lsdException w:unhideWhenUsed="1" w:semiHidden="1" w:qFormat="1" w:uiPriority="9" w:name="heading 8"/>
    <w:lsdException w:unhideWhenUsed="1" w:semiHidden="1" w:qFormat="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unhideWhenUsed="1" w:semiHidden="1" w:qFormat="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atentStyles>
  <w:style w:type="paragraph" w:styleId="Normal" w:customStyle="1">
    <w:name w:val="Normal"/>
    <w:pPr>
      <w:widowControl/>
      <w:suppressAutoHyphens w:val="true"/>
      <w:bidi w:val="0"/>
      <w:jc w:val="left"/>
      <w:textAlignment w:val="baseline"/>
    </w:pPr>
    <w:rPr>
      <w:rFonts w:ascii="Liberation Serif" w:hAnsi="Liberation Serif" w:eastAsia="Noto Sans CJK SC Regular" w:cs="FreeSans"/>
      <w:color w:val="00000A"/>
      <w:sz w:val="24"/>
      <w:szCs w:val="24"/>
      <w:lang w:val="fr-CH" w:eastAsia="zh-CN" w:bidi="hi-IN"/>
    </w:rPr>
  </w:style>
  <w:style w:type="character" w:styleId="DefaultParagraphFont" w:default="1">
    <w:name w:val="Default Paragraph Font"/>
    <w:uiPriority w:val="1"/>
    <w:semiHidden/>
    <w:unhideWhenUsed/>
    <w:rPr/>
  </w:style>
  <w:style w:type="paragraph" w:styleId="Titre" w:customStyle="1">
    <w:name w:val="Titre"/>
    <w:basedOn w:val="Normal"/>
    <w:next w:val="Corpsdetexte"/>
    <w:pPr>
      <w:keepNext/>
      <w:spacing w:before="240" w:after="120"/>
    </w:pPr>
    <w:rPr>
      <w:rFonts w:ascii="Liberation Sans" w:hAnsi="Liberation Sans" w:eastAsia="Droid Sans Fallback" w:cs="FreeSans"/>
      <w:sz w:val="28"/>
      <w:szCs w:val="28"/>
    </w:rPr>
  </w:style>
  <w:style w:type="paragraph" w:styleId="Corpsdetexte" w:customStyle="1">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customStyle="1">
    <w:name w:val="Index"/>
    <w:basedOn w:val="Normal"/>
    <w:pPr>
      <w:suppressLineNumbers/>
    </w:pPr>
    <w:rPr>
      <w:rFonts w:cs="FreeSans"/>
    </w:rPr>
  </w:style>
  <w:style w:type="paragraph" w:styleId="Caption">
    <w:name w:val="caption"/>
    <w:basedOn w:val="Normal"/>
    <w:pPr>
      <w:suppressLineNumbers/>
      <w:spacing w:before="120" w:after="120"/>
    </w:pPr>
    <w:rPr>
      <w:i/>
      <w:iCs/>
    </w:rPr>
  </w:style>
  <w:style w:type="paragraph" w:styleId="Entte">
    <w:name w:val="En-tête"/>
    <w:basedOn w:val="Normal"/>
    <w:pPr>
      <w:tabs>
        <w:tab w:val="center" w:pos="4536" w:leader="none"/>
        <w:tab w:val="right" w:pos="9072" w:leader="none"/>
      </w:tabs>
      <w:spacing w:lineRule="auto" w:line="240"/>
    </w:pPr>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image" Target="media/image1.png"/><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74E348-D99E-43AA-BF25-D0D37DDE93F8}"/>
</file>

<file path=customXml/itemProps2.xml><?xml version="1.0" encoding="utf-8"?>
<ds:datastoreItem xmlns:ds="http://schemas.openxmlformats.org/officeDocument/2006/customXml" ds:itemID="{23F83134-74F7-43C7-8D0C-5C1DEBDCD59E}"/>
</file>

<file path=customXml/itemProps3.xml><?xml version="1.0" encoding="utf-8"?>
<ds:datastoreItem xmlns:ds="http://schemas.openxmlformats.org/officeDocument/2006/customXml" ds:itemID="{AF16C532-4ADA-4722-B32B-782EB834B748}"/>
</file>

<file path=docProps/app.xml><?xml version="1.0" encoding="utf-8"?>
<Properties xmlns="http://schemas.openxmlformats.org/officeDocument/2006/extended-properties" xmlns:vt="http://schemas.openxmlformats.org/officeDocument/2006/docPropsVTypes">
  <Template>Normal</Template>
  <TotalTime>30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Amakouma Degbe</dc:creator>
  <cp:lastModifiedBy>mission togo</cp:lastModifiedBy>
  <cp:revision>5</cp:revision>
  <cp:lastPrinted>2018-11-02T08:24:49Z</cp:lastPrinted>
  <dcterms:created xsi:type="dcterms:W3CDTF">2016-09-12T07:53:00Z</dcterms:created>
  <dcterms:modified xsi:type="dcterms:W3CDTF">2016-09-12T08:36:00Z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