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1"/>
        <w:tabs>
          <w:tab w:val="left" w:pos="709" w:leader="none"/>
          <w:tab w:val="left" w:pos="2475" w:leader="none"/>
        </w:tabs>
        <w:jc w:val="both"/>
        <w:rPr/>
      </w:pPr>
      <w:r>
        <w:rPr/>
      </w:r>
    </w:p>
    <w:tbl>
      <w:tblPr>
        <w:jc w:val="left"/>
        <w:tblInd w:w="-17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9"/>
        <w:gridCol w:w="1637"/>
        <w:gridCol w:w="4219"/>
      </w:tblGrid>
      <w:tr>
        <w:trPr>
          <w:cantSplit w:val="false"/>
        </w:trPr>
        <w:tc>
          <w:tcPr>
            <w:tcW w:w="44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rPr>
                <w:rFonts w:eastAsia="WenQuanYi Micro Hei" w:cs="Times New Roman" w:ascii="Times New Roman" w:hAnsi="Times New Roman"/>
                <w:lang w:val="fr-FR"/>
              </w:rPr>
            </w:pPr>
            <w:r>
              <w:rPr>
                <w:rFonts w:eastAsia="WenQuanYi Micro Hei" w:cs="Times New Roman" w:ascii="Times New Roman" w:hAnsi="Times New Roman"/>
                <w:lang w:val="fr-FR"/>
              </w:rPr>
              <w:t>A M B A S S A D E   DU TOGO</w:t>
            </w:r>
          </w:p>
          <w:p>
            <w:pPr>
              <w:pStyle w:val="Normal1"/>
              <w:widowControl w:val="false"/>
              <w:jc w:val="both"/>
              <w:rPr>
                <w:rFonts w:eastAsia="WenQuanYi Micro Hei" w:cs="Times New Roman" w:ascii="Times New Roman" w:hAnsi="Times New Roman"/>
                <w:i/>
                <w:sz w:val="18"/>
                <w:szCs w:val="18"/>
                <w:lang w:val="fr-FR"/>
              </w:rPr>
            </w:pPr>
            <w:r>
              <w:rPr>
                <w:rFonts w:eastAsia="WenQuanYi Micro Hei" w:cs="Times New Roman" w:ascii="Times New Roman" w:hAnsi="Times New Roman"/>
                <w:i/>
                <w:sz w:val="18"/>
                <w:szCs w:val="18"/>
                <w:lang w:val="fr-FR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jc w:val="center"/>
              <w:rPr/>
            </w:pPr>
            <w:r>
              <w:rPr/>
              <w:drawing>
                <wp:inline distT="0" distB="0" distL="0" distR="0">
                  <wp:extent cx="685165" cy="108013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rPr>
                <w:rFonts w:eastAsia="WenQuanYi Micro Hei" w:cs="Times New Roman" w:ascii="Times New Roman" w:hAnsi="Times New Roman"/>
                <w:i/>
                <w:lang w:val="fr-FR"/>
              </w:rPr>
            </w:pPr>
            <w:r>
              <w:rPr>
                <w:rFonts w:eastAsia="Arial" w:cs="Arial" w:ascii="Arial" w:hAnsi="Arial"/>
                <w:lang w:val="fr-FR"/>
              </w:rPr>
              <w:t xml:space="preserve">     </w:t>
            </w:r>
            <w:r>
              <w:rPr>
                <w:rFonts w:eastAsia="WenQuanYi Micro Hei" w:cs="Times New Roman" w:ascii="Times New Roman" w:hAnsi="Times New Roman"/>
                <w:lang w:val="fr-FR"/>
              </w:rPr>
              <w:t xml:space="preserve">REPUBLIQUE TOGOLAISE                 </w:t>
            </w:r>
            <w:r>
              <w:rPr>
                <w:rFonts w:eastAsia="WenQuanYi Micro Hei" w:cs="Times New Roman" w:ascii="Times New Roman" w:hAnsi="Times New Roman"/>
                <w:i/>
                <w:lang w:val="fr-FR"/>
              </w:rPr>
              <w:t>Travail- Liberté-Patrie</w:t>
            </w:r>
          </w:p>
        </w:tc>
      </w:tr>
      <w:tr>
        <w:trPr>
          <w:cantSplit w:val="false"/>
        </w:trPr>
        <w:tc>
          <w:tcPr>
            <w:tcW w:w="44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rPr>
                <w:rFonts w:eastAsia="WenQuanYi Micro Hei" w:cs="Times New Roman" w:ascii="Times New Roman" w:hAnsi="Times New Roman"/>
                <w:lang w:val="fr-FR"/>
              </w:rPr>
            </w:pPr>
            <w:r>
              <w:rPr>
                <w:rFonts w:eastAsia="WenQuanYi Micro Hei" w:cs="Times New Roman" w:ascii="Times New Roman" w:hAnsi="Times New Roman"/>
                <w:lang w:val="fr-FR"/>
              </w:rPr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jc w:val="center"/>
              <w:rPr/>
            </w:pPr>
            <w:r>
              <w:rPr/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rFonts w:cs="Times New Roman" w:ascii="Times New Roman" w:hAnsi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cs="Times New Roman" w:ascii="Times New Roman" w:hAnsi="Times New Roman"/>
          <w:b/>
          <w:bCs/>
          <w:sz w:val="32"/>
          <w:szCs w:val="32"/>
          <w:lang w:val="fr-FR"/>
        </w:rPr>
        <w:t>Conseil des droits de l’homme</w:t>
      </w:r>
    </w:p>
    <w:p>
      <w:pPr>
        <w:pStyle w:val="Normal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  <w:r>
        <w:rPr>
          <w:rFonts w:ascii="Times New Roman" w:hAnsi="Times New Roman"/>
          <w:sz w:val="32"/>
          <w:szCs w:val="32"/>
          <w:lang w:eastAsia="en-US" w:bidi="ar-SA"/>
        </w:rPr>
      </w:r>
    </w:p>
    <w:p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32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groupe de travail de l'Examen Périodique Universel (EPU)</w:t>
      </w:r>
    </w:p>
    <w:p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21 janvier au 1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er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février 2019</w:t>
      </w:r>
    </w:p>
    <w:p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  <w:r>
        <w:rPr>
          <w:rFonts w:ascii="Times New Roman" w:hAnsi="Times New Roman"/>
          <w:sz w:val="32"/>
          <w:szCs w:val="32"/>
          <w:lang w:eastAsia="en-US" w:bidi="ar-SA"/>
        </w:rPr>
      </w:r>
    </w:p>
    <w:p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  <w:r>
        <w:rPr>
          <w:rFonts w:ascii="Times New Roman" w:hAnsi="Times New Roman"/>
          <w:sz w:val="32"/>
          <w:szCs w:val="32"/>
          <w:lang w:eastAsia="en-US" w:bidi="ar-SA"/>
        </w:rPr>
      </w:r>
    </w:p>
    <w:p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Examen du rapport du Viet Nam</w:t>
      </w:r>
    </w:p>
    <w:p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</w:r>
    </w:p>
    <w:p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</w:r>
    </w:p>
    <w:p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</w:r>
    </w:p>
    <w:p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</w:r>
    </w:p>
    <w:p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</w:r>
    </w:p>
    <w:p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</w:r>
    </w:p>
    <w:p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>
      <w:pPr>
        <w:pStyle w:val="Normal1"/>
        <w:spacing w:lineRule="auto" w:line="276"/>
        <w:jc w:val="center"/>
        <w:rPr>
          <w:rFonts w:ascii="Times New Roman" w:hAnsi="Times New Roman"/>
          <w:sz w:val="32"/>
          <w:szCs w:val="32"/>
          <w:lang w:eastAsia="en-US" w:bidi="ar-SA"/>
        </w:rPr>
      </w:pPr>
      <w:r>
        <w:rPr>
          <w:rFonts w:ascii="Times New Roman" w:hAnsi="Times New Roman"/>
          <w:sz w:val="32"/>
          <w:szCs w:val="32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</w:r>
    </w:p>
    <w:p>
      <w:pPr>
        <w:pStyle w:val="Normal1"/>
        <w:spacing w:lineRule="auto" w:line="276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ab/>
        <w:tab/>
        <w:tab/>
        <w:tab/>
        <w:tab/>
        <w:t>Genève, le 22 janvier 2019</w:t>
      </w:r>
    </w:p>
    <w:p>
      <w:pPr>
        <w:pStyle w:val="Normal1"/>
        <w:suppressAutoHyphens w:val="false"/>
        <w:spacing w:lineRule="auto" w:line="276" w:before="0" w:after="200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ab/>
        <w:tab/>
        <w:tab/>
        <w:tab/>
        <w:tab/>
        <w:t>(14h30-18h)</w:t>
      </w:r>
    </w:p>
    <w:p>
      <w:pPr>
        <w:pStyle w:val="Normal1"/>
        <w:suppressAutoHyphens w:val="false"/>
        <w:spacing w:lineRule="auto" w:line="276" w:before="0" w:after="200"/>
        <w:jc w:val="both"/>
        <w:rPr/>
      </w:pPr>
      <w:r>
        <w:rPr/>
      </w:r>
    </w:p>
    <w:p>
      <w:pPr>
        <w:pStyle w:val="Normal1"/>
        <w:suppressAutoHyphens w:val="false"/>
        <w:spacing w:lineRule="auto" w:line="276" w:before="0" w:after="200"/>
        <w:jc w:val="both"/>
        <w:rPr>
          <w:rFonts w:ascii="Times New Roman" w:hAnsi="Times New Roman"/>
          <w:b/>
          <w:bCs/>
          <w:i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bCs/>
          <w:i/>
          <w:sz w:val="32"/>
          <w:szCs w:val="32"/>
          <w:lang w:eastAsia="en-US" w:bidi="ar-SA"/>
        </w:rPr>
        <w:t>Monsieur le Président,</w:t>
      </w:r>
    </w:p>
    <w:p>
      <w:pPr>
        <w:pStyle w:val="Normal1"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eastAsia="en-US" w:bidi="ar-SA"/>
        </w:rPr>
      </w:pPr>
      <w:r>
        <w:rPr>
          <w:rFonts w:ascii="Times New Roman" w:hAnsi="Times New Roman"/>
          <w:sz w:val="30"/>
          <w:szCs w:val="30"/>
          <w:lang w:eastAsia="en-US" w:bidi="ar-SA"/>
        </w:rPr>
        <w:t>La délégation togolaise souhaite la cordiale bienvenue à la délégation vietnamienne conduite par S.E. LE Hoai Trung, Vice-Ministre des Affaires Etrangères, à ce 3</w:t>
      </w:r>
      <w:r>
        <w:rPr>
          <w:rFonts w:ascii="Times New Roman" w:hAnsi="Times New Roman"/>
          <w:sz w:val="30"/>
          <w:szCs w:val="30"/>
          <w:vertAlign w:val="superscript"/>
          <w:lang w:eastAsia="en-US" w:bidi="ar-SA"/>
        </w:rPr>
        <w:t>ème</w:t>
      </w:r>
      <w:r>
        <w:rPr>
          <w:rFonts w:ascii="Times New Roman" w:hAnsi="Times New Roman"/>
          <w:sz w:val="30"/>
          <w:szCs w:val="30"/>
          <w:lang w:eastAsia="en-US" w:bidi="ar-SA"/>
        </w:rPr>
        <w:t xml:space="preserve"> cycle de l'EPU.</w:t>
      </w:r>
    </w:p>
    <w:p>
      <w:pPr>
        <w:pStyle w:val="Normal1"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 w:bidi="ar-SA"/>
        </w:rPr>
        <w:t xml:space="preserve">Le Togo note l'adoption d'une série de mesures législatives visant à promouvoir les droits de l'homme, entre autres </w:t>
      </w:r>
      <w:r>
        <w:rPr>
          <w:rFonts w:ascii="Times New Roman" w:hAnsi="Times New Roman"/>
          <w:sz w:val="30"/>
          <w:szCs w:val="30"/>
        </w:rPr>
        <w:t xml:space="preserve">le Code pénal et le Code de procédure pénale, la loi sur la garde à vue et la détention provisoire, la loi sur les droits de l'enfant et la loi sur la presse. </w:t>
      </w:r>
    </w:p>
    <w:p>
      <w:pPr>
        <w:pStyle w:val="Normal1"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 w:bidi="ar-SA"/>
        </w:rPr>
        <w:t>Nous saluons l'adoption du plan national</w:t>
      </w:r>
      <w:r>
        <w:rPr/>
        <w:t xml:space="preserve"> </w:t>
      </w:r>
      <w:r>
        <w:rPr>
          <w:rFonts w:ascii="Times New Roman" w:hAnsi="Times New Roman"/>
          <w:sz w:val="30"/>
          <w:szCs w:val="30"/>
        </w:rPr>
        <w:t>d’action 2016-2021 visant à protéger la propriété individuelle, à améliorer le bien-être de la population, à accroître le niveau de vie de la population et à réduire durablement la pauvreté.</w:t>
      </w:r>
    </w:p>
    <w:p>
      <w:pPr>
        <w:pStyle w:val="Normal1"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Le Togo félicite le Gouvernement Vietnamien pour la mise en œuvre de 92 % des recommandations issues du second cycle et l'encourage à redoubler d’efforts pour leur réalisation complète.</w:t>
      </w:r>
    </w:p>
    <w:p>
      <w:pPr>
        <w:pStyle w:val="Normal1"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eastAsia="en-US" w:bidi="ar-SA"/>
        </w:rPr>
      </w:pPr>
      <w:r>
        <w:rPr>
          <w:rFonts w:ascii="Times New Roman" w:hAnsi="Times New Roman"/>
          <w:sz w:val="30"/>
          <w:szCs w:val="30"/>
          <w:lang w:eastAsia="en-US" w:bidi="ar-SA"/>
        </w:rPr>
        <w:t>Le Togo souhaiterait formuler les recommandations suivantes :</w:t>
      </w:r>
    </w:p>
    <w:p>
      <w:pPr>
        <w:pStyle w:val="Normal1"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 w:bidi="ar-SA"/>
        </w:rPr>
        <w:t>1- R</w:t>
      </w:r>
      <w:r>
        <w:rPr>
          <w:rFonts w:ascii="Times New Roman" w:hAnsi="Times New Roman"/>
          <w:sz w:val="30"/>
          <w:szCs w:val="30"/>
        </w:rPr>
        <w:t>atifier la Convention de l'UNESCO de 1960 concernant la lutte contre la discrimination dans le domaine de l’enseignement ;</w:t>
      </w:r>
    </w:p>
    <w:p>
      <w:pPr>
        <w:pStyle w:val="Normal1"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2- Accélérer le processus de création d’une institution nationale des droits de l’homme conforme Principes de Paris et la doter de ressources financières et d'infrastructures adéquates à son bon fonctionnement ;</w:t>
      </w:r>
    </w:p>
    <w:p>
      <w:pPr>
        <w:pStyle w:val="Normal1"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3- Prendre des mesures pour prohiber le harcèlement et la torture lors du processus d’enquêtes et de </w:t>
      </w:r>
      <w:r>
        <w:rPr>
          <w:rFonts w:ascii="Times New Roman" w:hAnsi="Times New Roman"/>
          <w:sz w:val="30"/>
          <w:szCs w:val="30"/>
        </w:rPr>
        <w:t xml:space="preserve">la </w:t>
      </w:r>
      <w:r>
        <w:rPr>
          <w:rFonts w:ascii="Times New Roman" w:hAnsi="Times New Roman"/>
          <w:sz w:val="30"/>
          <w:szCs w:val="30"/>
        </w:rPr>
        <w:t>détention et prendre des sanctions à l’enco</w:t>
      </w:r>
      <w:r>
        <w:rPr>
          <w:rFonts w:ascii="Times New Roman" w:hAnsi="Times New Roman"/>
          <w:sz w:val="30"/>
          <w:szCs w:val="30"/>
        </w:rPr>
        <w:t>nt</w:t>
      </w:r>
      <w:r>
        <w:rPr>
          <w:rFonts w:ascii="Times New Roman" w:hAnsi="Times New Roman"/>
          <w:sz w:val="30"/>
          <w:szCs w:val="30"/>
        </w:rPr>
        <w:t>re des auteurs de torture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.</w:t>
      </w:r>
    </w:p>
    <w:p>
      <w:pPr>
        <w:pStyle w:val="Normal1"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Pour terminer, la délégation togolaise souhaite plein succès à la délégation Vietnamienne dans la mise en œuvre des recommandations issues du présent EPU</w:t>
      </w:r>
    </w:p>
    <w:p>
      <w:pPr>
        <w:pStyle w:val="Normal1"/>
        <w:suppressAutoHyphens w:val="false"/>
        <w:spacing w:lineRule="auto" w:line="276" w:before="0" w:after="200"/>
        <w:jc w:val="both"/>
        <w:rPr/>
      </w:pPr>
      <w:r>
        <w:rPr/>
      </w:r>
    </w:p>
    <w:p>
      <w:pPr>
        <w:pStyle w:val="Normal1"/>
        <w:suppressAutoHyphens w:val="false"/>
        <w:spacing w:lineRule="auto" w:line="276" w:before="0" w:after="200"/>
        <w:jc w:val="center"/>
        <w:rPr>
          <w:rFonts w:cs="Liberation Serif" w:ascii="Times New Roman" w:hAnsi="Times New Roman"/>
          <w:b/>
          <w:bCs/>
          <w:sz w:val="28"/>
          <w:szCs w:val="28"/>
          <w:lang w:eastAsia="en-US" w:bidi="ar-SA"/>
        </w:rPr>
      </w:pPr>
      <w:r>
        <w:rPr>
          <w:rFonts w:cs="Liberation Serif" w:ascii="Times New Roman" w:hAnsi="Times New Roman"/>
          <w:b/>
          <w:bCs/>
          <w:sz w:val="28"/>
          <w:szCs w:val="28"/>
          <w:lang w:eastAsia="en-US" w:bidi="ar-SA"/>
        </w:rPr>
        <w:t xml:space="preserve">Je vous remercie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Noto Sans CJK SC Regular" w:cs="FreeSans"/>
        <w:sz w:val="24"/>
        <w:szCs w:val="24"/>
        <w:lang w:val="fr-CH" w:eastAsia="zh-CN" w:bidi="hi-IN"/>
      </w:rPr>
    </w:rPrDefault>
    <w:pPrDefault>
      <w:pPr>
        <w:textAlignment w:val="baseline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auto"/>
      <w:sz w:val="24"/>
      <w:szCs w:val="24"/>
      <w:lang w:val="fr-CH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1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1"/>
    <w:pPr>
      <w:suppressLineNumbers/>
    </w:pPr>
    <w:rPr>
      <w:rFonts w:cs="FreeSans"/>
    </w:rPr>
  </w:style>
  <w:style w:type="paragraph" w:styleId="Normal1" w:customStyle="1">
    <w:name w:val="Normal1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00000A"/>
      <w:sz w:val="24"/>
      <w:szCs w:val="24"/>
      <w:lang w:val="fr-CH" w:eastAsia="zh-CN" w:bidi="hi-IN"/>
    </w:rPr>
  </w:style>
  <w:style w:type="paragraph" w:styleId="Titre1" w:customStyle="1">
    <w:name w:val="Titre1"/>
    <w:basedOn w:val="Normal1"/>
    <w:pPr>
      <w:keepNext/>
      <w:spacing w:before="240" w:after="120"/>
    </w:pPr>
    <w:rPr>
      <w:rFonts w:ascii="Liberation Sans" w:hAnsi="Liberation Sans" w:eastAsia="Droid Sans Fallback"/>
      <w:sz w:val="28"/>
      <w:szCs w:val="28"/>
    </w:rPr>
  </w:style>
  <w:style w:type="paragraph" w:styleId="Corpsdetexte1" w:customStyle="1">
    <w:name w:val="Corps de texte1"/>
    <w:basedOn w:val="Normal1"/>
    <w:pPr>
      <w:spacing w:lineRule="auto" w:line="288" w:before="0" w:after="140"/>
    </w:pPr>
    <w:rPr/>
  </w:style>
  <w:style w:type="paragraph" w:styleId="Caption">
    <w:name w:val="caption"/>
    <w:basedOn w:val="Normal1"/>
    <w:pPr>
      <w:suppressLineNumbers/>
      <w:spacing w:before="120" w:after="120"/>
    </w:pPr>
    <w:rPr>
      <w:i/>
      <w:iCs/>
    </w:rPr>
  </w:style>
  <w:style w:type="paragraph" w:styleId="Entte">
    <w:name w:val="En-tête"/>
    <w:basedOn w:val="Normal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ABA57-A8C4-4E6D-B4D8-14CD95A44440}"/>
</file>

<file path=customXml/itemProps2.xml><?xml version="1.0" encoding="utf-8"?>
<ds:datastoreItem xmlns:ds="http://schemas.openxmlformats.org/officeDocument/2006/customXml" ds:itemID="{593829C3-E887-4C1E-BF81-6C22FC144C66}"/>
</file>

<file path=customXml/itemProps3.xml><?xml version="1.0" encoding="utf-8"?>
<ds:datastoreItem xmlns:ds="http://schemas.openxmlformats.org/officeDocument/2006/customXml" ds:itemID="{1402FC37-B060-421D-ABA6-1E8FFF68F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Amakouma Degbe</dc:creator>
  <cp:lastModifiedBy>Mission du Togo</cp:lastModifiedBy>
  <cp:revision>7</cp:revision>
  <cp:lastPrinted>2018-11-02T08:24:00Z</cp:lastPrinted>
  <dcterms:created xsi:type="dcterms:W3CDTF">2016-09-12T07:53:00Z</dcterms:created>
  <dcterms:modified xsi:type="dcterms:W3CDTF">2019-01-21T15:28:00Z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