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A" w:rsidRDefault="009C0CCA" w:rsidP="004F447F">
      <w:pPr>
        <w:rPr>
          <w:b/>
          <w:sz w:val="28"/>
          <w:szCs w:val="28"/>
        </w:rPr>
      </w:pPr>
    </w:p>
    <w:p w:rsidR="00385D58" w:rsidRPr="00EA7B73" w:rsidRDefault="00385D58" w:rsidP="00385D5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The 32</w:t>
      </w:r>
      <w:r w:rsidRPr="000F631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session of the Working Group on</w:t>
      </w:r>
      <w:r w:rsidRPr="00EA7B73">
        <w:rPr>
          <w:b/>
          <w:sz w:val="28"/>
          <w:szCs w:val="28"/>
        </w:rPr>
        <w:t xml:space="preserve"> the UPR</w:t>
      </w:r>
    </w:p>
    <w:p w:rsidR="00385D58" w:rsidRDefault="00385D58" w:rsidP="00385D58">
      <w:pPr>
        <w:ind w:left="-426"/>
        <w:rPr>
          <w:b/>
          <w:sz w:val="28"/>
          <w:szCs w:val="28"/>
        </w:rPr>
      </w:pPr>
      <w:r w:rsidRPr="00616BE4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, </w:t>
      </w:r>
      <w:r w:rsidRPr="00616BE4">
        <w:rPr>
          <w:b/>
          <w:sz w:val="28"/>
          <w:szCs w:val="28"/>
        </w:rPr>
        <w:t>29 January 2019</w:t>
      </w:r>
    </w:p>
    <w:p w:rsidR="00385D58" w:rsidRDefault="00385D58" w:rsidP="00385D58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 xml:space="preserve">Review of </w:t>
      </w:r>
      <w:bookmarkStart w:id="0" w:name="_Hlk534813393"/>
      <w:r>
        <w:rPr>
          <w:b/>
          <w:sz w:val="28"/>
          <w:szCs w:val="28"/>
        </w:rPr>
        <w:t>Cyprus</w:t>
      </w:r>
      <w:bookmarkEnd w:id="0"/>
    </w:p>
    <w:p w:rsidR="00385D58" w:rsidRDefault="00385D58" w:rsidP="00385D58">
      <w:pPr>
        <w:ind w:left="-426"/>
        <w:rPr>
          <w:b/>
          <w:sz w:val="28"/>
          <w:szCs w:val="28"/>
        </w:rPr>
      </w:pPr>
    </w:p>
    <w:p w:rsidR="00385D58" w:rsidRDefault="00385D58" w:rsidP="00385D58">
      <w:pPr>
        <w:ind w:left="-426"/>
        <w:rPr>
          <w:b/>
          <w:sz w:val="28"/>
          <w:szCs w:val="28"/>
        </w:rPr>
      </w:pPr>
    </w:p>
    <w:p w:rsidR="00385D58" w:rsidRDefault="00385D58" w:rsidP="00385D58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>Intervention by Romania</w:t>
      </w:r>
    </w:p>
    <w:p w:rsidR="00385D58" w:rsidRDefault="00385D58" w:rsidP="00385D5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>Mr. President,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Romania warmly welcomes the delegation of the </w:t>
      </w:r>
      <w:r w:rsidRPr="001D0EF9">
        <w:rPr>
          <w:sz w:val="28"/>
          <w:szCs w:val="28"/>
        </w:rPr>
        <w:t xml:space="preserve">Cyprus </w:t>
      </w:r>
      <w:r>
        <w:rPr>
          <w:sz w:val="28"/>
          <w:szCs w:val="28"/>
        </w:rPr>
        <w:t>and appreciates the thorough and detailed presentation on the human rights situation in the country.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Pr="001D0EF9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We commend </w:t>
      </w:r>
      <w:r w:rsidRPr="001D0EF9">
        <w:rPr>
          <w:sz w:val="28"/>
          <w:szCs w:val="28"/>
        </w:rPr>
        <w:t>Cyprus for its holistic approach on human rights while implementing the Sustainable Development Goals</w:t>
      </w:r>
      <w:r>
        <w:rPr>
          <w:sz w:val="28"/>
          <w:szCs w:val="28"/>
        </w:rPr>
        <w:t xml:space="preserve">. </w:t>
      </w:r>
      <w:r w:rsidRPr="001D0EF9">
        <w:rPr>
          <w:sz w:val="28"/>
          <w:szCs w:val="28"/>
        </w:rPr>
        <w:t>Ro</w:t>
      </w:r>
      <w:r>
        <w:rPr>
          <w:sz w:val="28"/>
          <w:szCs w:val="28"/>
        </w:rPr>
        <w:t>mania</w:t>
      </w:r>
      <w:r w:rsidRPr="001D0EF9">
        <w:rPr>
          <w:sz w:val="28"/>
          <w:szCs w:val="28"/>
        </w:rPr>
        <w:t xml:space="preserve"> welcomes</w:t>
      </w:r>
      <w:r>
        <w:rPr>
          <w:sz w:val="28"/>
          <w:szCs w:val="28"/>
        </w:rPr>
        <w:t xml:space="preserve"> the emphasis on </w:t>
      </w:r>
      <w:r w:rsidRPr="001D0EF9">
        <w:rPr>
          <w:sz w:val="28"/>
          <w:szCs w:val="28"/>
        </w:rPr>
        <w:t>the protection and promotion of women’s rights and gender equality, as well as the active role of Cyprus in protecting and promoting cultural heritage.</w:t>
      </w:r>
    </w:p>
    <w:p w:rsidR="00385D58" w:rsidRPr="001D0EF9" w:rsidRDefault="00385D58" w:rsidP="00385D58">
      <w:pPr>
        <w:ind w:left="-426"/>
        <w:rPr>
          <w:sz w:val="28"/>
          <w:szCs w:val="28"/>
        </w:rPr>
      </w:pPr>
    </w:p>
    <w:p w:rsidR="00385D58" w:rsidRPr="001D0EF9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>We</w:t>
      </w:r>
      <w:r w:rsidRPr="001D0EF9">
        <w:rPr>
          <w:sz w:val="28"/>
          <w:szCs w:val="28"/>
        </w:rPr>
        <w:t xml:space="preserve"> appreciate the decision of the Government </w:t>
      </w:r>
      <w:r>
        <w:rPr>
          <w:sz w:val="28"/>
          <w:szCs w:val="28"/>
        </w:rPr>
        <w:t xml:space="preserve">of </w:t>
      </w:r>
      <w:r w:rsidRPr="001D0EF9">
        <w:rPr>
          <w:sz w:val="28"/>
          <w:szCs w:val="28"/>
        </w:rPr>
        <w:t xml:space="preserve">Cyprus to assume a leading role and coordinate efforts with countries of the region to reverse the impact of climate change and its negative repercussions, especially in the Eastern Mediterranean. 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Pr="00D61A58" w:rsidRDefault="00385D58" w:rsidP="00385D58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R</w:t>
      </w:r>
      <w:r>
        <w:rPr>
          <w:sz w:val="28"/>
          <w:szCs w:val="28"/>
        </w:rPr>
        <w:t>omania has the following</w:t>
      </w:r>
      <w:r w:rsidRPr="00D61A58">
        <w:rPr>
          <w:sz w:val="28"/>
          <w:szCs w:val="28"/>
        </w:rPr>
        <w:t xml:space="preserve"> recommend</w:t>
      </w:r>
      <w:r>
        <w:rPr>
          <w:sz w:val="28"/>
          <w:szCs w:val="28"/>
        </w:rPr>
        <w:t>ations for Cyprus:</w:t>
      </w:r>
      <w:r w:rsidRPr="00D61A58">
        <w:rPr>
          <w:sz w:val="28"/>
          <w:szCs w:val="28"/>
        </w:rPr>
        <w:t xml:space="preserve"> </w:t>
      </w:r>
    </w:p>
    <w:p w:rsidR="00385D58" w:rsidRDefault="00385D58" w:rsidP="00385D58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-</w:t>
      </w:r>
      <w:r w:rsidRPr="00D61A58">
        <w:rPr>
          <w:sz w:val="28"/>
          <w:szCs w:val="28"/>
        </w:rPr>
        <w:tab/>
      </w:r>
      <w:r w:rsidRPr="001D0EF9">
        <w:rPr>
          <w:sz w:val="28"/>
          <w:szCs w:val="28"/>
        </w:rPr>
        <w:t xml:space="preserve">to continue measures aimed at effective implementation </w:t>
      </w:r>
      <w:r>
        <w:rPr>
          <w:sz w:val="28"/>
          <w:szCs w:val="28"/>
        </w:rPr>
        <w:t xml:space="preserve">of </w:t>
      </w:r>
      <w:r w:rsidRPr="001D0EF9">
        <w:rPr>
          <w:sz w:val="28"/>
          <w:szCs w:val="28"/>
        </w:rPr>
        <w:t>the Covenant on Economic, Social and Cultural Rights</w:t>
      </w:r>
      <w:r>
        <w:rPr>
          <w:sz w:val="28"/>
          <w:szCs w:val="28"/>
        </w:rPr>
        <w:t>;</w:t>
      </w: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>-    to continue</w:t>
      </w:r>
      <w:r w:rsidRPr="009C0879">
        <w:rPr>
          <w:sz w:val="28"/>
          <w:szCs w:val="28"/>
        </w:rPr>
        <w:t xml:space="preserve"> its efforts to eradicate discrimination against minorities</w:t>
      </w:r>
      <w:r>
        <w:rPr>
          <w:sz w:val="28"/>
          <w:szCs w:val="28"/>
        </w:rPr>
        <w:t xml:space="preserve">, including </w:t>
      </w:r>
      <w:r w:rsidRPr="009C0879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9C0879">
        <w:rPr>
          <w:sz w:val="28"/>
          <w:szCs w:val="28"/>
        </w:rPr>
        <w:t>campaigns to promote tolerance and respect for diversity</w:t>
      </w:r>
      <w:r>
        <w:rPr>
          <w:sz w:val="28"/>
          <w:szCs w:val="28"/>
        </w:rPr>
        <w:t>;</w:t>
      </w: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>-   to organize</w:t>
      </w:r>
      <w:r w:rsidRPr="009C0879">
        <w:rPr>
          <w:sz w:val="28"/>
          <w:szCs w:val="28"/>
        </w:rPr>
        <w:t xml:space="preserve"> campaigns and educational programmes, including in schools</w:t>
      </w:r>
      <w:r>
        <w:rPr>
          <w:sz w:val="28"/>
          <w:szCs w:val="28"/>
        </w:rPr>
        <w:t>,</w:t>
      </w:r>
      <w:r w:rsidRPr="009C0879">
        <w:rPr>
          <w:sz w:val="28"/>
          <w:szCs w:val="28"/>
        </w:rPr>
        <w:t xml:space="preserve"> to raise awareness on the importance of cultural heritage in all its diversity</w:t>
      </w:r>
      <w:r>
        <w:rPr>
          <w:sz w:val="28"/>
          <w:szCs w:val="28"/>
        </w:rPr>
        <w:t>.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>We wish Cyprus a successful UPR process.</w:t>
      </w:r>
    </w:p>
    <w:p w:rsidR="00385D58" w:rsidRDefault="00385D58" w:rsidP="00385D58">
      <w:pPr>
        <w:ind w:left="-426"/>
        <w:rPr>
          <w:sz w:val="28"/>
          <w:szCs w:val="28"/>
        </w:rPr>
      </w:pPr>
    </w:p>
    <w:p w:rsidR="00385D58" w:rsidRDefault="00385D58" w:rsidP="00385D5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p w:rsidR="006813EE" w:rsidRDefault="006813EE" w:rsidP="00083B82">
      <w:pPr>
        <w:rPr>
          <w:rFonts w:ascii="Times New Roman" w:hAnsi="Times New Roman"/>
          <w:sz w:val="28"/>
          <w:szCs w:val="28"/>
        </w:rPr>
      </w:pPr>
    </w:p>
    <w:p w:rsidR="009C0CCA" w:rsidRDefault="009C0CCA" w:rsidP="00DE62EA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DE62EA" w:rsidRPr="00F87590" w:rsidRDefault="00DE62EA" w:rsidP="00083B82">
      <w:pPr>
        <w:rPr>
          <w:rFonts w:ascii="Times New Roman" w:hAnsi="Times New Roman"/>
          <w:sz w:val="28"/>
          <w:szCs w:val="28"/>
        </w:rPr>
      </w:pPr>
    </w:p>
    <w:sectPr w:rsidR="00DE62EA" w:rsidRPr="00F87590" w:rsidSect="004F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CC" w:rsidRDefault="00F905CC" w:rsidP="001907A0">
      <w:r>
        <w:separator/>
      </w:r>
    </w:p>
  </w:endnote>
  <w:endnote w:type="continuationSeparator" w:id="0">
    <w:p w:rsidR="00F905CC" w:rsidRDefault="00F905CC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CC" w:rsidRDefault="00F905CC" w:rsidP="001907A0">
      <w:r>
        <w:separator/>
      </w:r>
    </w:p>
  </w:footnote>
  <w:footnote w:type="continuationSeparator" w:id="0">
    <w:p w:rsidR="00F905CC" w:rsidRDefault="00F905CC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12B85"/>
    <w:rsid w:val="00380952"/>
    <w:rsid w:val="00385D58"/>
    <w:rsid w:val="00430091"/>
    <w:rsid w:val="004557B8"/>
    <w:rsid w:val="004C67C4"/>
    <w:rsid w:val="004E713A"/>
    <w:rsid w:val="004F447F"/>
    <w:rsid w:val="005A30E7"/>
    <w:rsid w:val="00613497"/>
    <w:rsid w:val="006813EE"/>
    <w:rsid w:val="0068526E"/>
    <w:rsid w:val="006E3897"/>
    <w:rsid w:val="006E666B"/>
    <w:rsid w:val="007353BE"/>
    <w:rsid w:val="00745EE4"/>
    <w:rsid w:val="007546A4"/>
    <w:rsid w:val="00761452"/>
    <w:rsid w:val="007C0A8E"/>
    <w:rsid w:val="00841E54"/>
    <w:rsid w:val="008D0AF4"/>
    <w:rsid w:val="008E488D"/>
    <w:rsid w:val="008E6E96"/>
    <w:rsid w:val="0090588C"/>
    <w:rsid w:val="00931FC5"/>
    <w:rsid w:val="009B7250"/>
    <w:rsid w:val="009C0CCA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C23E8D"/>
    <w:rsid w:val="00C71625"/>
    <w:rsid w:val="00CB3D83"/>
    <w:rsid w:val="00D03A46"/>
    <w:rsid w:val="00D71341"/>
    <w:rsid w:val="00D83604"/>
    <w:rsid w:val="00D86DC0"/>
    <w:rsid w:val="00DD3217"/>
    <w:rsid w:val="00DE62EA"/>
    <w:rsid w:val="00E13119"/>
    <w:rsid w:val="00E21861"/>
    <w:rsid w:val="00E724FC"/>
    <w:rsid w:val="00E979BA"/>
    <w:rsid w:val="00EA1849"/>
    <w:rsid w:val="00EA5B94"/>
    <w:rsid w:val="00F317F8"/>
    <w:rsid w:val="00F4772F"/>
    <w:rsid w:val="00F87590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0064A-868E-4255-92B9-F07E06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C638-2542-4D62-BBD2-F2F415C94931}"/>
</file>

<file path=customXml/itemProps2.xml><?xml version="1.0" encoding="utf-8"?>
<ds:datastoreItem xmlns:ds="http://schemas.openxmlformats.org/officeDocument/2006/customXml" ds:itemID="{8BE03B85-E97D-4EE8-9247-5542680A4340}"/>
</file>

<file path=customXml/itemProps3.xml><?xml version="1.0" encoding="utf-8"?>
<ds:datastoreItem xmlns:ds="http://schemas.openxmlformats.org/officeDocument/2006/customXml" ds:itemID="{F7E18CC2-B285-4769-BE84-CB6F3D42F8BE}"/>
</file>

<file path=customXml/itemProps4.xml><?xml version="1.0" encoding="utf-8"?>
<ds:datastoreItem xmlns:ds="http://schemas.openxmlformats.org/officeDocument/2006/customXml" ds:itemID="{4ECF48B4-7CC9-438F-ACA9-9DD1A670B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2019-01-18T11:46:00Z</cp:lastPrinted>
  <dcterms:created xsi:type="dcterms:W3CDTF">2019-01-30T11:14:00Z</dcterms:created>
  <dcterms:modified xsi:type="dcterms:W3CDTF">2019-01-30T11:14:00Z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