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CCA" w:rsidRDefault="009C0CCA" w:rsidP="003A37AA">
      <w:pPr>
        <w:rPr>
          <w:b/>
          <w:sz w:val="28"/>
          <w:szCs w:val="28"/>
        </w:rPr>
      </w:pPr>
    </w:p>
    <w:p w:rsidR="006813EE" w:rsidRPr="00EA7B73" w:rsidRDefault="006813EE" w:rsidP="006813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The 32</w:t>
      </w:r>
      <w:r w:rsidRPr="00B51D13">
        <w:rPr>
          <w:b/>
          <w:sz w:val="28"/>
          <w:szCs w:val="28"/>
          <w:vertAlign w:val="superscript"/>
        </w:rPr>
        <w:t>nd</w:t>
      </w:r>
      <w:r>
        <w:rPr>
          <w:b/>
          <w:sz w:val="28"/>
          <w:szCs w:val="28"/>
        </w:rPr>
        <w:t xml:space="preserve"> session of the Working Group on</w:t>
      </w:r>
      <w:r w:rsidRPr="00EA7B73">
        <w:rPr>
          <w:b/>
          <w:sz w:val="28"/>
          <w:szCs w:val="28"/>
        </w:rPr>
        <w:t xml:space="preserve"> the UPR</w:t>
      </w:r>
    </w:p>
    <w:p w:rsidR="006813EE" w:rsidRDefault="006813EE" w:rsidP="006813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Mon</w:t>
      </w:r>
      <w:r w:rsidRPr="00616BE4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, </w:t>
      </w:r>
      <w:r w:rsidRPr="00616BE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8</w:t>
      </w:r>
      <w:r w:rsidRPr="00616BE4">
        <w:rPr>
          <w:b/>
          <w:sz w:val="28"/>
          <w:szCs w:val="28"/>
        </w:rPr>
        <w:t xml:space="preserve"> January 2019</w:t>
      </w:r>
    </w:p>
    <w:p w:rsidR="006813EE" w:rsidRDefault="006813EE" w:rsidP="006813EE">
      <w:pPr>
        <w:ind w:left="-426"/>
        <w:rPr>
          <w:b/>
          <w:sz w:val="28"/>
          <w:szCs w:val="28"/>
        </w:rPr>
      </w:pPr>
      <w:r w:rsidRPr="00EA7B73">
        <w:rPr>
          <w:b/>
          <w:sz w:val="28"/>
          <w:szCs w:val="28"/>
        </w:rPr>
        <w:t xml:space="preserve">Review of </w:t>
      </w:r>
      <w:r>
        <w:rPr>
          <w:b/>
          <w:sz w:val="28"/>
          <w:szCs w:val="28"/>
        </w:rPr>
        <w:t>the Slovak Republic</w:t>
      </w:r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6813EE" w:rsidRDefault="006813EE" w:rsidP="006813EE">
      <w:pPr>
        <w:ind w:left="-426"/>
        <w:rPr>
          <w:b/>
          <w:sz w:val="28"/>
          <w:szCs w:val="28"/>
        </w:rPr>
      </w:pPr>
      <w:r w:rsidRPr="00EA7B73">
        <w:rPr>
          <w:b/>
          <w:sz w:val="28"/>
          <w:szCs w:val="28"/>
        </w:rPr>
        <w:t>Intervention by Romania</w:t>
      </w:r>
    </w:p>
    <w:p w:rsidR="006813EE" w:rsidRDefault="006813EE" w:rsidP="006813EE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ind w:left="-426"/>
        <w:rPr>
          <w:sz w:val="28"/>
          <w:szCs w:val="28"/>
        </w:rPr>
      </w:pPr>
      <w:r>
        <w:rPr>
          <w:sz w:val="28"/>
          <w:szCs w:val="28"/>
        </w:rPr>
        <w:t>Mr. President,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ind w:left="-426"/>
        <w:rPr>
          <w:sz w:val="28"/>
          <w:szCs w:val="28"/>
        </w:rPr>
      </w:pPr>
      <w:r>
        <w:rPr>
          <w:sz w:val="28"/>
          <w:szCs w:val="28"/>
        </w:rPr>
        <w:t>Romania warmly welcomes the delegation of the Slovak Republic and appreciates the thorough and detailed presentation on the human rights situation in the country.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We commend </w:t>
      </w:r>
      <w:r w:rsidRPr="00D61A58">
        <w:rPr>
          <w:sz w:val="28"/>
          <w:szCs w:val="28"/>
        </w:rPr>
        <w:t>the adoption, in 2015, of the National Strategy for the Promotion and</w:t>
      </w:r>
      <w:r>
        <w:rPr>
          <w:sz w:val="28"/>
          <w:szCs w:val="28"/>
        </w:rPr>
        <w:t xml:space="preserve"> </w:t>
      </w:r>
      <w:r w:rsidRPr="00D61A58">
        <w:rPr>
          <w:sz w:val="28"/>
          <w:szCs w:val="28"/>
        </w:rPr>
        <w:t>Protection of Human Rights.</w:t>
      </w:r>
      <w:r>
        <w:rPr>
          <w:sz w:val="28"/>
          <w:szCs w:val="28"/>
        </w:rPr>
        <w:t xml:space="preserve"> Romania</w:t>
      </w:r>
      <w:r w:rsidRPr="00D61A58">
        <w:rPr>
          <w:sz w:val="28"/>
          <w:szCs w:val="28"/>
        </w:rPr>
        <w:t xml:space="preserve"> welcomes the measures taken by the Slovak G</w:t>
      </w:r>
      <w:r>
        <w:rPr>
          <w:sz w:val="28"/>
          <w:szCs w:val="28"/>
        </w:rPr>
        <w:t>overnment</w:t>
      </w:r>
      <w:r w:rsidRPr="00D61A58">
        <w:rPr>
          <w:sz w:val="28"/>
          <w:szCs w:val="28"/>
        </w:rPr>
        <w:t xml:space="preserve"> to protect children and women against violence, to promote gender equality and to facilitate access to education, particularly for pupils from socially disadvantaged backgrounds.</w:t>
      </w:r>
      <w:r>
        <w:rPr>
          <w:sz w:val="28"/>
          <w:szCs w:val="28"/>
        </w:rPr>
        <w:t xml:space="preserve"> </w:t>
      </w:r>
      <w:r w:rsidRPr="00FF1842">
        <w:rPr>
          <w:sz w:val="28"/>
          <w:szCs w:val="28"/>
        </w:rPr>
        <w:t>In this respect, Romania also appreciates Slovakia’s efforts in the field of promotion and protection of rights of persons belonging to national minorities.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Pr="00D61A58" w:rsidRDefault="006813EE" w:rsidP="006813EE">
      <w:pPr>
        <w:ind w:left="-426"/>
        <w:rPr>
          <w:sz w:val="28"/>
          <w:szCs w:val="28"/>
        </w:rPr>
      </w:pPr>
      <w:r w:rsidRPr="00D61A58">
        <w:rPr>
          <w:sz w:val="28"/>
          <w:szCs w:val="28"/>
        </w:rPr>
        <w:t>R</w:t>
      </w:r>
      <w:r>
        <w:rPr>
          <w:sz w:val="28"/>
          <w:szCs w:val="28"/>
        </w:rPr>
        <w:t>omania has the following</w:t>
      </w:r>
      <w:r w:rsidRPr="00D61A58">
        <w:rPr>
          <w:sz w:val="28"/>
          <w:szCs w:val="28"/>
        </w:rPr>
        <w:t xml:space="preserve"> recommend</w:t>
      </w:r>
      <w:r>
        <w:rPr>
          <w:sz w:val="28"/>
          <w:szCs w:val="28"/>
        </w:rPr>
        <w:t xml:space="preserve">ations for </w:t>
      </w:r>
      <w:r w:rsidRPr="00D61A58">
        <w:rPr>
          <w:sz w:val="28"/>
          <w:szCs w:val="28"/>
        </w:rPr>
        <w:t xml:space="preserve">the Slovak </w:t>
      </w:r>
      <w:r>
        <w:rPr>
          <w:sz w:val="28"/>
          <w:szCs w:val="28"/>
        </w:rPr>
        <w:t>R</w:t>
      </w:r>
      <w:r w:rsidRPr="00D61A58">
        <w:rPr>
          <w:sz w:val="28"/>
          <w:szCs w:val="28"/>
        </w:rPr>
        <w:t>epublic</w:t>
      </w:r>
      <w:r>
        <w:rPr>
          <w:sz w:val="28"/>
          <w:szCs w:val="28"/>
        </w:rPr>
        <w:t>:</w:t>
      </w:r>
      <w:r w:rsidRPr="00D61A58">
        <w:rPr>
          <w:sz w:val="28"/>
          <w:szCs w:val="28"/>
        </w:rPr>
        <w:t xml:space="preserve"> </w:t>
      </w:r>
    </w:p>
    <w:p w:rsidR="006813EE" w:rsidRPr="00D61A58" w:rsidRDefault="006813EE" w:rsidP="006813EE">
      <w:pPr>
        <w:ind w:left="-426"/>
        <w:rPr>
          <w:sz w:val="28"/>
          <w:szCs w:val="28"/>
        </w:rPr>
      </w:pPr>
      <w:r w:rsidRPr="00D61A58">
        <w:rPr>
          <w:sz w:val="28"/>
          <w:szCs w:val="28"/>
        </w:rPr>
        <w:t>-</w:t>
      </w:r>
      <w:r w:rsidRPr="00D61A58">
        <w:rPr>
          <w:sz w:val="28"/>
          <w:szCs w:val="28"/>
        </w:rPr>
        <w:tab/>
        <w:t>To continue to improve the functioning of the judicial system in order to enhance the efficiency of judicial proceedings</w:t>
      </w:r>
      <w:r>
        <w:rPr>
          <w:sz w:val="28"/>
          <w:szCs w:val="28"/>
        </w:rPr>
        <w:t>;</w:t>
      </w:r>
    </w:p>
    <w:p w:rsidR="006813EE" w:rsidRPr="00D61A58" w:rsidRDefault="006813EE" w:rsidP="006813EE">
      <w:pPr>
        <w:ind w:left="-426"/>
        <w:rPr>
          <w:sz w:val="28"/>
          <w:szCs w:val="28"/>
        </w:rPr>
      </w:pPr>
      <w:r w:rsidRPr="00D61A58">
        <w:rPr>
          <w:sz w:val="28"/>
          <w:szCs w:val="28"/>
        </w:rPr>
        <w:t>-</w:t>
      </w:r>
      <w:r w:rsidRPr="00D61A58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D61A58">
        <w:rPr>
          <w:sz w:val="28"/>
          <w:szCs w:val="28"/>
        </w:rPr>
        <w:t xml:space="preserve">o </w:t>
      </w:r>
      <w:r>
        <w:rPr>
          <w:sz w:val="28"/>
          <w:szCs w:val="28"/>
        </w:rPr>
        <w:t xml:space="preserve">further </w:t>
      </w:r>
      <w:r w:rsidRPr="00D61A58">
        <w:rPr>
          <w:sz w:val="28"/>
          <w:szCs w:val="28"/>
        </w:rPr>
        <w:t>consolidate measures in support of people with disabilities</w:t>
      </w:r>
      <w:r>
        <w:rPr>
          <w:sz w:val="28"/>
          <w:szCs w:val="28"/>
        </w:rPr>
        <w:t>;</w:t>
      </w:r>
    </w:p>
    <w:p w:rsidR="006813EE" w:rsidRDefault="006813EE" w:rsidP="006813EE">
      <w:pPr>
        <w:ind w:left="-426"/>
        <w:rPr>
          <w:sz w:val="28"/>
          <w:szCs w:val="28"/>
        </w:rPr>
      </w:pPr>
      <w:r w:rsidRPr="00D61A58">
        <w:rPr>
          <w:sz w:val="28"/>
          <w:szCs w:val="28"/>
        </w:rPr>
        <w:t>-</w:t>
      </w:r>
      <w:r w:rsidRPr="00D61A58">
        <w:rPr>
          <w:sz w:val="28"/>
          <w:szCs w:val="28"/>
        </w:rPr>
        <w:tab/>
      </w:r>
      <w:r>
        <w:rPr>
          <w:sz w:val="28"/>
          <w:szCs w:val="28"/>
        </w:rPr>
        <w:t>T</w:t>
      </w:r>
      <w:r w:rsidRPr="00D61A58">
        <w:rPr>
          <w:sz w:val="28"/>
          <w:szCs w:val="28"/>
        </w:rPr>
        <w:t xml:space="preserve">o continue efforts against discrimination and on the </w:t>
      </w:r>
      <w:r>
        <w:rPr>
          <w:sz w:val="28"/>
          <w:szCs w:val="28"/>
        </w:rPr>
        <w:t>p</w:t>
      </w:r>
      <w:r w:rsidRPr="00D61A58">
        <w:rPr>
          <w:sz w:val="28"/>
          <w:szCs w:val="28"/>
        </w:rPr>
        <w:t xml:space="preserve">revention and </w:t>
      </w:r>
      <w:r>
        <w:rPr>
          <w:sz w:val="28"/>
          <w:szCs w:val="28"/>
        </w:rPr>
        <w:t>e</w:t>
      </w:r>
      <w:r w:rsidRPr="00D61A58">
        <w:rPr>
          <w:sz w:val="28"/>
          <w:szCs w:val="28"/>
        </w:rPr>
        <w:t xml:space="preserve">limination of </w:t>
      </w:r>
      <w:r>
        <w:rPr>
          <w:sz w:val="28"/>
          <w:szCs w:val="28"/>
        </w:rPr>
        <w:t>r</w:t>
      </w:r>
      <w:r w:rsidRPr="00D61A58">
        <w:rPr>
          <w:sz w:val="28"/>
          <w:szCs w:val="28"/>
        </w:rPr>
        <w:t xml:space="preserve">acism, </w:t>
      </w:r>
      <w:r>
        <w:rPr>
          <w:sz w:val="28"/>
          <w:szCs w:val="28"/>
        </w:rPr>
        <w:t>x</w:t>
      </w:r>
      <w:r w:rsidRPr="00D61A58">
        <w:rPr>
          <w:sz w:val="28"/>
          <w:szCs w:val="28"/>
        </w:rPr>
        <w:t xml:space="preserve">enophobia, </w:t>
      </w:r>
      <w:r>
        <w:rPr>
          <w:sz w:val="28"/>
          <w:szCs w:val="28"/>
        </w:rPr>
        <w:t>a</w:t>
      </w:r>
      <w:r w:rsidRPr="00D61A58">
        <w:rPr>
          <w:sz w:val="28"/>
          <w:szCs w:val="28"/>
        </w:rPr>
        <w:t>nti-</w:t>
      </w:r>
      <w:r>
        <w:rPr>
          <w:sz w:val="28"/>
          <w:szCs w:val="28"/>
        </w:rPr>
        <w:t>s</w:t>
      </w:r>
      <w:r w:rsidRPr="00D61A58">
        <w:rPr>
          <w:sz w:val="28"/>
          <w:szCs w:val="28"/>
        </w:rPr>
        <w:t xml:space="preserve">emitism and </w:t>
      </w:r>
      <w:r>
        <w:rPr>
          <w:sz w:val="28"/>
          <w:szCs w:val="28"/>
        </w:rPr>
        <w:t>o</w:t>
      </w:r>
      <w:r w:rsidRPr="00D61A58">
        <w:rPr>
          <w:sz w:val="28"/>
          <w:szCs w:val="28"/>
        </w:rPr>
        <w:t xml:space="preserve">ther </w:t>
      </w:r>
      <w:r>
        <w:rPr>
          <w:sz w:val="28"/>
          <w:szCs w:val="28"/>
        </w:rPr>
        <w:t>f</w:t>
      </w:r>
      <w:r w:rsidRPr="00D61A58">
        <w:rPr>
          <w:sz w:val="28"/>
          <w:szCs w:val="28"/>
        </w:rPr>
        <w:t xml:space="preserve">orms of </w:t>
      </w:r>
      <w:r>
        <w:rPr>
          <w:sz w:val="28"/>
          <w:szCs w:val="28"/>
        </w:rPr>
        <w:t>i</w:t>
      </w:r>
      <w:r w:rsidRPr="00D61A58">
        <w:rPr>
          <w:sz w:val="28"/>
          <w:szCs w:val="28"/>
        </w:rPr>
        <w:t>ntolerance.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ind w:left="-426"/>
        <w:rPr>
          <w:sz w:val="28"/>
          <w:szCs w:val="28"/>
        </w:rPr>
      </w:pPr>
      <w:r>
        <w:rPr>
          <w:sz w:val="28"/>
          <w:szCs w:val="28"/>
        </w:rPr>
        <w:t>We wish the Slovak Republic a successful UPR process.</w:t>
      </w:r>
    </w:p>
    <w:p w:rsidR="006813EE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Thank you. </w:t>
      </w:r>
    </w:p>
    <w:p w:rsidR="006813EE" w:rsidRPr="00CF7534" w:rsidRDefault="006813EE" w:rsidP="006813EE">
      <w:pPr>
        <w:ind w:left="-426"/>
        <w:rPr>
          <w:b/>
          <w:sz w:val="28"/>
          <w:szCs w:val="28"/>
        </w:rPr>
      </w:pPr>
    </w:p>
    <w:p w:rsidR="006813EE" w:rsidRPr="00EA7B73" w:rsidRDefault="006813EE" w:rsidP="006813EE">
      <w:pPr>
        <w:ind w:left="-426"/>
        <w:rPr>
          <w:sz w:val="28"/>
          <w:szCs w:val="28"/>
        </w:rPr>
      </w:pPr>
    </w:p>
    <w:p w:rsidR="006813EE" w:rsidRDefault="006813EE" w:rsidP="006813EE">
      <w:pPr>
        <w:rPr>
          <w:sz w:val="28"/>
          <w:szCs w:val="28"/>
        </w:rPr>
      </w:pPr>
    </w:p>
    <w:p w:rsidR="006813EE" w:rsidRDefault="006813EE" w:rsidP="00083B82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813EE" w:rsidRDefault="006813EE" w:rsidP="006813EE">
      <w:pPr>
        <w:ind w:left="-426"/>
        <w:rPr>
          <w:b/>
          <w:sz w:val="28"/>
          <w:szCs w:val="28"/>
        </w:rPr>
      </w:pPr>
    </w:p>
    <w:p w:rsidR="00DE62EA" w:rsidRPr="00F87590" w:rsidRDefault="00DE62EA" w:rsidP="00083B82">
      <w:pPr>
        <w:rPr>
          <w:rFonts w:ascii="Times New Roman" w:hAnsi="Times New Roman"/>
          <w:sz w:val="28"/>
          <w:szCs w:val="28"/>
        </w:rPr>
      </w:pPr>
    </w:p>
    <w:sectPr w:rsidR="00DE62EA" w:rsidRPr="00F875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EB6" w:rsidRDefault="00B03EB6" w:rsidP="001907A0">
      <w:r>
        <w:separator/>
      </w:r>
    </w:p>
  </w:endnote>
  <w:endnote w:type="continuationSeparator" w:id="0">
    <w:p w:rsidR="00B03EB6" w:rsidRDefault="00B03EB6" w:rsidP="00190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EB6" w:rsidRDefault="00B03EB6" w:rsidP="001907A0">
      <w:r>
        <w:separator/>
      </w:r>
    </w:p>
  </w:footnote>
  <w:footnote w:type="continuationSeparator" w:id="0">
    <w:p w:rsidR="00B03EB6" w:rsidRDefault="00B03EB6" w:rsidP="001907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3479A"/>
    <w:multiLevelType w:val="hybridMultilevel"/>
    <w:tmpl w:val="79E02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C5B28"/>
    <w:multiLevelType w:val="hybridMultilevel"/>
    <w:tmpl w:val="7E16742C"/>
    <w:lvl w:ilvl="0" w:tplc="93A0D866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 w15:restartNumberingAfterBreak="0">
    <w:nsid w:val="40A1135B"/>
    <w:multiLevelType w:val="hybridMultilevel"/>
    <w:tmpl w:val="A9C8D15E"/>
    <w:lvl w:ilvl="0" w:tplc="2D824E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3038A"/>
    <w:multiLevelType w:val="hybridMultilevel"/>
    <w:tmpl w:val="68A4DDF4"/>
    <w:lvl w:ilvl="0" w:tplc="15FA58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D56A5"/>
    <w:multiLevelType w:val="hybridMultilevel"/>
    <w:tmpl w:val="86B2BC5E"/>
    <w:lvl w:ilvl="0" w:tplc="38F0A13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94"/>
    <w:rsid w:val="00083B82"/>
    <w:rsid w:val="000D4CC0"/>
    <w:rsid w:val="00102FD9"/>
    <w:rsid w:val="00126080"/>
    <w:rsid w:val="00187EEF"/>
    <w:rsid w:val="001907A0"/>
    <w:rsid w:val="001D2982"/>
    <w:rsid w:val="00266C89"/>
    <w:rsid w:val="0028464D"/>
    <w:rsid w:val="002951A8"/>
    <w:rsid w:val="002F1BA0"/>
    <w:rsid w:val="00302161"/>
    <w:rsid w:val="00312B85"/>
    <w:rsid w:val="00380952"/>
    <w:rsid w:val="00385D58"/>
    <w:rsid w:val="003A37AA"/>
    <w:rsid w:val="00430091"/>
    <w:rsid w:val="004557B8"/>
    <w:rsid w:val="004C67C4"/>
    <w:rsid w:val="004E713A"/>
    <w:rsid w:val="005A30E7"/>
    <w:rsid w:val="00613497"/>
    <w:rsid w:val="006813EE"/>
    <w:rsid w:val="0068526E"/>
    <w:rsid w:val="006E3897"/>
    <w:rsid w:val="006E666B"/>
    <w:rsid w:val="007353BE"/>
    <w:rsid w:val="00745EE4"/>
    <w:rsid w:val="007546A4"/>
    <w:rsid w:val="00761452"/>
    <w:rsid w:val="007C0A8E"/>
    <w:rsid w:val="00841E54"/>
    <w:rsid w:val="008D0AF4"/>
    <w:rsid w:val="008E488D"/>
    <w:rsid w:val="008E6E96"/>
    <w:rsid w:val="0090588C"/>
    <w:rsid w:val="00931FC5"/>
    <w:rsid w:val="009B7250"/>
    <w:rsid w:val="009C0CCA"/>
    <w:rsid w:val="009C13E8"/>
    <w:rsid w:val="009F2247"/>
    <w:rsid w:val="00A46B6C"/>
    <w:rsid w:val="00A8009E"/>
    <w:rsid w:val="00AE0068"/>
    <w:rsid w:val="00AE781A"/>
    <w:rsid w:val="00B03EB6"/>
    <w:rsid w:val="00B5519A"/>
    <w:rsid w:val="00B60CC8"/>
    <w:rsid w:val="00BA49F5"/>
    <w:rsid w:val="00C23E8D"/>
    <w:rsid w:val="00C71625"/>
    <w:rsid w:val="00CB3D83"/>
    <w:rsid w:val="00D03A46"/>
    <w:rsid w:val="00D71341"/>
    <w:rsid w:val="00D83604"/>
    <w:rsid w:val="00D86DC0"/>
    <w:rsid w:val="00DD3217"/>
    <w:rsid w:val="00DE62EA"/>
    <w:rsid w:val="00E13119"/>
    <w:rsid w:val="00E21861"/>
    <w:rsid w:val="00E724FC"/>
    <w:rsid w:val="00E979BA"/>
    <w:rsid w:val="00EA1849"/>
    <w:rsid w:val="00EA5B94"/>
    <w:rsid w:val="00F317F8"/>
    <w:rsid w:val="00F4772F"/>
    <w:rsid w:val="00F8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6B0064A-868E-4255-92B9-F07E06AB5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B94"/>
    <w:pPr>
      <w:spacing w:after="0" w:line="240" w:lineRule="auto"/>
      <w:jc w:val="both"/>
    </w:pPr>
    <w:rPr>
      <w:rFonts w:ascii="Arial" w:hAnsi="Arial"/>
      <w:lang w:val="ro-RO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9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71341"/>
    <w:pPr>
      <w:spacing w:before="100" w:beforeAutospacing="1" w:after="100" w:afterAutospacing="1"/>
      <w:jc w:val="left"/>
    </w:pPr>
    <w:rPr>
      <w:rFonts w:ascii="Times New Roman" w:eastAsiaTheme="minorHAnsi" w:hAnsi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009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0091"/>
    <w:rPr>
      <w:rFonts w:ascii="Arial" w:hAnsi="Arial"/>
      <w:sz w:val="20"/>
      <w:szCs w:val="20"/>
      <w:lang w:val="ro-RO"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43009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67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C4"/>
    <w:rPr>
      <w:rFonts w:ascii="Tahoma" w:hAnsi="Tahoma" w:cs="Tahoma"/>
      <w:sz w:val="16"/>
      <w:szCs w:val="16"/>
      <w:lang w:val="ro-RO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B3669F-C720-4B78-8945-A6D1A9242D3C}"/>
</file>

<file path=customXml/itemProps2.xml><?xml version="1.0" encoding="utf-8"?>
<ds:datastoreItem xmlns:ds="http://schemas.openxmlformats.org/officeDocument/2006/customXml" ds:itemID="{09251E90-2458-4123-BEBD-2DCEEFF60601}"/>
</file>

<file path=customXml/itemProps3.xml><?xml version="1.0" encoding="utf-8"?>
<ds:datastoreItem xmlns:ds="http://schemas.openxmlformats.org/officeDocument/2006/customXml" ds:itemID="{F6889EAC-9CA7-401A-A6D3-AF17CCCC1326}"/>
</file>

<file path=customXml/itemProps4.xml><?xml version="1.0" encoding="utf-8"?>
<ds:datastoreItem xmlns:ds="http://schemas.openxmlformats.org/officeDocument/2006/customXml" ds:itemID="{1E74C9DB-C11E-4680-8B44-DDCAF7442C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Mecea</dc:creator>
  <cp:lastModifiedBy>U-14</cp:lastModifiedBy>
  <cp:revision>2</cp:revision>
  <cp:lastPrinted>2019-01-18T11:46:00Z</cp:lastPrinted>
  <dcterms:created xsi:type="dcterms:W3CDTF">2019-01-30T11:12:00Z</dcterms:created>
  <dcterms:modified xsi:type="dcterms:W3CDTF">2019-01-30T11:12:00Z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