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D52C92" w:rsidRDefault="00FA3BF3" w:rsidP="00FA3BF3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D52C92">
        <w:rPr>
          <w:i/>
          <w:color w:val="000000"/>
          <w:lang w:val="fr-FR"/>
        </w:rPr>
        <w:t>Vérifier au prononcé</w:t>
      </w:r>
    </w:p>
    <w:p w:rsidR="00F46DA7" w:rsidRPr="00F46DA7" w:rsidRDefault="00F46DA7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F46DA7">
        <w:rPr>
          <w:b/>
          <w:color w:val="000000"/>
          <w:u w:val="single"/>
          <w:lang w:val="fr-FR"/>
        </w:rPr>
        <w:t>3</w:t>
      </w:r>
      <w:r w:rsidR="00BB7951">
        <w:rPr>
          <w:b/>
          <w:color w:val="000000"/>
          <w:u w:val="single"/>
          <w:lang w:val="fr-FR"/>
        </w:rPr>
        <w:t>2</w:t>
      </w:r>
      <w:r w:rsidRPr="00F46DA7">
        <w:rPr>
          <w:b/>
          <w:color w:val="000000"/>
          <w:u w:val="single"/>
          <w:vertAlign w:val="superscript"/>
          <w:lang w:val="fr-FR"/>
        </w:rPr>
        <w:t>e</w:t>
      </w:r>
      <w:r w:rsidRPr="00F46DA7">
        <w:rPr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F46DA7" w:rsidRDefault="00F46DA7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Déclaration de Djibouti à l</w:t>
      </w:r>
      <w:r w:rsidR="00BB7951" w:rsidRPr="00BB7951">
        <w:rPr>
          <w:b/>
          <w:color w:val="000000"/>
          <w:u w:val="single"/>
          <w:lang w:val="fr-FR"/>
        </w:rPr>
        <w:t xml:space="preserve">’Examen Périodique Universel </w:t>
      </w:r>
      <w:r w:rsidR="00D675F9">
        <w:rPr>
          <w:b/>
          <w:color w:val="000000"/>
          <w:u w:val="single"/>
          <w:lang w:val="fr-FR"/>
        </w:rPr>
        <w:t>du Yémen</w:t>
      </w:r>
      <w:r w:rsidR="009D022A">
        <w:rPr>
          <w:b/>
          <w:color w:val="000000"/>
          <w:u w:val="single"/>
          <w:lang w:val="fr-FR"/>
        </w:rPr>
        <w:t xml:space="preserve"> </w:t>
      </w:r>
    </w:p>
    <w:p w:rsid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2</w:t>
      </w:r>
      <w:r w:rsidR="00D675F9">
        <w:rPr>
          <w:b/>
          <w:color w:val="000000"/>
          <w:u w:val="single"/>
          <w:lang w:val="fr-FR"/>
        </w:rPr>
        <w:t>3</w:t>
      </w:r>
      <w:r>
        <w:rPr>
          <w:b/>
          <w:color w:val="000000"/>
          <w:u w:val="single"/>
          <w:lang w:val="fr-FR"/>
        </w:rPr>
        <w:t xml:space="preserve"> janvier 2019</w:t>
      </w:r>
    </w:p>
    <w:p w:rsidR="00BB7951" w:rsidRP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</w:rPr>
      </w:pPr>
      <w:proofErr w:type="spellStart"/>
      <w:r w:rsidRPr="00BB7951">
        <w:rPr>
          <w:b/>
          <w:color w:val="000000"/>
          <w:u w:val="single"/>
        </w:rPr>
        <w:t>M.Maki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r w:rsidRPr="00BB7951">
        <w:rPr>
          <w:b/>
          <w:color w:val="000000"/>
          <w:u w:val="single"/>
        </w:rPr>
        <w:t>Houmed</w:t>
      </w:r>
      <w:proofErr w:type="spellEnd"/>
      <w:r w:rsidRPr="00BB7951">
        <w:rPr>
          <w:b/>
          <w:color w:val="000000"/>
          <w:u w:val="single"/>
        </w:rPr>
        <w:t xml:space="preserve"> </w:t>
      </w:r>
      <w:proofErr w:type="spellStart"/>
      <w:proofErr w:type="gramStart"/>
      <w:r w:rsidRPr="00BB7951">
        <w:rPr>
          <w:b/>
          <w:color w:val="000000"/>
          <w:u w:val="single"/>
        </w:rPr>
        <w:t>Gaba</w:t>
      </w:r>
      <w:proofErr w:type="spellEnd"/>
      <w:proofErr w:type="gramEnd"/>
      <w:r w:rsidRPr="00BB7951">
        <w:rPr>
          <w:b/>
          <w:color w:val="000000"/>
          <w:u w:val="single"/>
        </w:rPr>
        <w:t xml:space="preserve"> </w:t>
      </w:r>
    </w:p>
    <w:p w:rsidR="00BB7951" w:rsidRPr="00BB7951" w:rsidRDefault="00BB7951" w:rsidP="00F46DA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  <w:lang w:val="fr-FR"/>
        </w:rPr>
      </w:pPr>
      <w:r w:rsidRPr="00BB7951">
        <w:rPr>
          <w:b/>
          <w:color w:val="000000"/>
          <w:u w:val="single"/>
          <w:lang w:val="fr-FR"/>
        </w:rPr>
        <w:t>Conseiller</w:t>
      </w:r>
    </w:p>
    <w:p w:rsidR="00570737" w:rsidRPr="00570737" w:rsidRDefault="00570737" w:rsidP="00570737">
      <w:pPr>
        <w:shd w:val="clear" w:color="auto" w:fill="FFFFFF"/>
        <w:jc w:val="both"/>
        <w:rPr>
          <w:b/>
          <w:color w:val="000000"/>
          <w:lang w:val="fr-FR" w:eastAsia="fr-CH"/>
        </w:rPr>
      </w:pPr>
    </w:p>
    <w:p w:rsidR="00D675F9" w:rsidRPr="00D675F9" w:rsidRDefault="00D675F9" w:rsidP="00D675F9">
      <w:pPr>
        <w:shd w:val="clear" w:color="auto" w:fill="FFFFFF"/>
        <w:jc w:val="both"/>
        <w:rPr>
          <w:b/>
          <w:color w:val="000000"/>
          <w:lang w:val="fr-FR" w:eastAsia="fr-CH"/>
        </w:rPr>
      </w:pPr>
      <w:r w:rsidRPr="00D675F9">
        <w:rPr>
          <w:b/>
          <w:color w:val="000000"/>
          <w:lang w:val="fr-FR" w:eastAsia="fr-CH"/>
        </w:rPr>
        <w:t>Merci, Monsieur le Président,</w:t>
      </w:r>
    </w:p>
    <w:p w:rsidR="00D675F9" w:rsidRP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 xml:space="preserve">Djibouti souhaite la bienvenue à la délégation de Haut niveau de la République sœur du Yémen conduite par le Ministre des Droits de </w:t>
      </w:r>
      <w:r w:rsidRPr="00D675F9">
        <w:rPr>
          <w:color w:val="000000"/>
          <w:lang w:val="fr-FR" w:eastAsia="fr-CH"/>
        </w:rPr>
        <w:t>l’Homme,</w:t>
      </w:r>
      <w:r>
        <w:rPr>
          <w:color w:val="000000"/>
          <w:lang w:val="fr-FR" w:eastAsia="fr-CH"/>
        </w:rPr>
        <w:t xml:space="preserve"> </w:t>
      </w:r>
      <w:r w:rsidRPr="00D675F9">
        <w:rPr>
          <w:color w:val="000000"/>
          <w:lang w:val="fr-FR" w:eastAsia="fr-CH"/>
        </w:rPr>
        <w:t xml:space="preserve">et la remercie pour sa présentation détaillée de son Rapport national. </w:t>
      </w: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>Nous saluons les efforts fournis par les autorités yéménites pour mettre en place un processus participatif pour la rédaction du présent rapport malgré la situation tragique que vit le Yémen.</w:t>
      </w:r>
    </w:p>
    <w:p w:rsidR="00D675F9" w:rsidRP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>En effet, cette situation de conflit prolongée a entrainé une aggravation de la situation humanitaire et une escalade de la violence qui a eu pour corolaire des déplacements massifs des populations, des violations des droits humains fondamentaux et une limitation de l’accès aux services essentiels</w:t>
      </w:r>
      <w:r>
        <w:rPr>
          <w:color w:val="000000"/>
          <w:lang w:val="fr-FR" w:eastAsia="fr-CH"/>
        </w:rPr>
        <w:t>,</w:t>
      </w:r>
      <w:r w:rsidRPr="00D675F9">
        <w:rPr>
          <w:color w:val="000000"/>
          <w:lang w:val="fr-FR" w:eastAsia="fr-CH"/>
        </w:rPr>
        <w:t xml:space="preserve"> tels que l’eau, l’assainissement, les soins de santé et l’éducation.  </w:t>
      </w:r>
    </w:p>
    <w:p w:rsidR="00D675F9" w:rsidRP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>Aussi, la République de Djibouti souhaiterait formuler au Yémen les recommandations suivantes :</w:t>
      </w:r>
    </w:p>
    <w:p w:rsidR="00D675F9" w:rsidRPr="00D675F9" w:rsidRDefault="00D675F9" w:rsidP="00D675F9">
      <w:pPr>
        <w:pStyle w:val="Paragraphedeliste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</w:pPr>
    </w:p>
    <w:p w:rsidR="00D675F9" w:rsidRPr="00D675F9" w:rsidRDefault="00D675F9" w:rsidP="00D675F9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</w:pPr>
      <w:r w:rsidRPr="00D675F9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>Continuer les efforts de dialogue pour mettre fin au conflit et créer les conditions nécessaires pour une assistance humanitaire aux populations civiles</w:t>
      </w:r>
    </w:p>
    <w:p w:rsidR="00D675F9" w:rsidRPr="00D675F9" w:rsidRDefault="00D675F9" w:rsidP="00D675F9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fr-FR" w:eastAsia="fr-CH"/>
        </w:rPr>
      </w:pPr>
      <w:bookmarkStart w:id="0" w:name="_GoBack"/>
      <w:bookmarkEnd w:id="0"/>
      <w:r w:rsidRPr="00D675F9">
        <w:rPr>
          <w:rFonts w:ascii="Times New Roman" w:hAnsi="Times New Roman"/>
          <w:b/>
          <w:color w:val="000000"/>
          <w:sz w:val="24"/>
          <w:szCs w:val="24"/>
          <w:lang w:val="fr-FR" w:eastAsia="fr-CH"/>
        </w:rPr>
        <w:t>Accélérer les efforts et prendre les mesures appropriées en vue de la mise en œuvre des recommandations acceptées lors du cycle précédent de l’examen périodique universel</w:t>
      </w:r>
    </w:p>
    <w:p w:rsidR="00D675F9" w:rsidRP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 xml:space="preserve"> </w:t>
      </w:r>
    </w:p>
    <w:p w:rsid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  <w:r w:rsidRPr="00D675F9">
        <w:rPr>
          <w:color w:val="000000"/>
          <w:lang w:val="fr-FR" w:eastAsia="fr-CH"/>
        </w:rPr>
        <w:t>Enfin, Djibouti souhaite plein succès au Yémen à l’occasion de cet examen.</w:t>
      </w:r>
    </w:p>
    <w:p w:rsidR="00D675F9" w:rsidRPr="00D675F9" w:rsidRDefault="00D675F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p w:rsidR="00D675F9" w:rsidRPr="00D675F9" w:rsidRDefault="00D675F9" w:rsidP="00D675F9">
      <w:pPr>
        <w:shd w:val="clear" w:color="auto" w:fill="FFFFFF"/>
        <w:jc w:val="both"/>
        <w:rPr>
          <w:b/>
          <w:color w:val="000000"/>
          <w:lang w:val="fr-FR" w:eastAsia="fr-CH"/>
        </w:rPr>
      </w:pPr>
      <w:r w:rsidRPr="00D675F9">
        <w:rPr>
          <w:b/>
          <w:color w:val="000000"/>
          <w:lang w:val="fr-FR" w:eastAsia="fr-CH"/>
        </w:rPr>
        <w:t>Je vous remercie</w:t>
      </w:r>
    </w:p>
    <w:p w:rsidR="00686C79" w:rsidRPr="00D675F9" w:rsidRDefault="00686C79" w:rsidP="00D675F9">
      <w:pPr>
        <w:shd w:val="clear" w:color="auto" w:fill="FFFFFF"/>
        <w:jc w:val="both"/>
        <w:rPr>
          <w:color w:val="000000"/>
          <w:lang w:val="fr-FR" w:eastAsia="fr-CH"/>
        </w:rPr>
      </w:pPr>
    </w:p>
    <w:sectPr w:rsidR="00686C79" w:rsidRPr="00D675F9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9B" w:rsidRDefault="00BC549B">
      <w:r>
        <w:separator/>
      </w:r>
    </w:p>
  </w:endnote>
  <w:endnote w:type="continuationSeparator" w:id="0">
    <w:p w:rsidR="00BC549B" w:rsidRDefault="00BC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9B" w:rsidRDefault="00BC549B">
      <w:r>
        <w:separator/>
      </w:r>
    </w:p>
  </w:footnote>
  <w:footnote w:type="continuationSeparator" w:id="0">
    <w:p w:rsidR="00BC549B" w:rsidRDefault="00BC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B97F1E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507831">
    <w:pPr>
      <w:pStyle w:val="En-tte"/>
      <w:jc w:val="right"/>
      <w:rPr>
        <w:lang w:val="fr-CH"/>
      </w:rPr>
    </w:pPr>
  </w:p>
  <w:p w:rsidR="00507831" w:rsidRDefault="00507831">
    <w:pPr>
      <w:pStyle w:val="En-tte"/>
      <w:jc w:val="right"/>
      <w:rPr>
        <w:lang w:val="fr-CH"/>
      </w:rPr>
    </w:pPr>
  </w:p>
  <w:p w:rsidR="00507831" w:rsidRDefault="00D52C92">
    <w:pPr>
      <w:jc w:val="center"/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9B0F00F" wp14:editId="23F645B2">
              <wp:simplePos x="0" y="0"/>
              <wp:positionH relativeFrom="page">
                <wp:posOffset>219075</wp:posOffset>
              </wp:positionH>
              <wp:positionV relativeFrom="paragraph">
                <wp:posOffset>93345</wp:posOffset>
              </wp:positionV>
              <wp:extent cx="3048000" cy="1181100"/>
              <wp:effectExtent l="0" t="0" r="0" b="0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0F00F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17.25pt;margin-top:7.35pt;width:240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D52C92">
    <w:pPr>
      <w:jc w:val="center"/>
      <w:rPr>
        <w:sz w:val="20"/>
        <w:lang w:val="fr-FR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183DF2" wp14:editId="260D5AE9">
              <wp:simplePos x="0" y="0"/>
              <wp:positionH relativeFrom="page">
                <wp:posOffset>4737100</wp:posOffset>
              </wp:positionH>
              <wp:positionV relativeFrom="paragraph">
                <wp:posOffset>10795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المبعوثية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83DF2" id=" 1" o:spid="_x0000_s1027" type="#_x0000_t202" style="position:absolute;left:0;text-align:left;margin-left:373pt;margin-top:.85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المبعوثية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07831"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D52C92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8E4"/>
    <w:multiLevelType w:val="hybridMultilevel"/>
    <w:tmpl w:val="CACEB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531E"/>
    <w:multiLevelType w:val="hybridMultilevel"/>
    <w:tmpl w:val="F5CAD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BE7"/>
    <w:multiLevelType w:val="hybridMultilevel"/>
    <w:tmpl w:val="A4DE62C8"/>
    <w:lvl w:ilvl="0" w:tplc="EACC2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4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64E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B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0F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F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B2A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0DD"/>
    <w:multiLevelType w:val="hybridMultilevel"/>
    <w:tmpl w:val="EF80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6F8B"/>
    <w:multiLevelType w:val="hybridMultilevel"/>
    <w:tmpl w:val="D8AAA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5B0C"/>
    <w:multiLevelType w:val="hybridMultilevel"/>
    <w:tmpl w:val="53F8A5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C4DD5"/>
    <w:multiLevelType w:val="hybridMultilevel"/>
    <w:tmpl w:val="764E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6D10"/>
    <w:multiLevelType w:val="hybridMultilevel"/>
    <w:tmpl w:val="5A82BC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95044"/>
    <w:multiLevelType w:val="hybridMultilevel"/>
    <w:tmpl w:val="0682F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D24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3A7904"/>
    <w:multiLevelType w:val="hybridMultilevel"/>
    <w:tmpl w:val="C08065CE"/>
    <w:lvl w:ilvl="0" w:tplc="963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83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C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4C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A1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9D434B"/>
    <w:multiLevelType w:val="hybridMultilevel"/>
    <w:tmpl w:val="D1BA7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05927"/>
    <w:multiLevelType w:val="hybridMultilevel"/>
    <w:tmpl w:val="F1F26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552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817335"/>
    <w:multiLevelType w:val="hybridMultilevel"/>
    <w:tmpl w:val="A3C2E6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B6052"/>
    <w:multiLevelType w:val="hybridMultilevel"/>
    <w:tmpl w:val="FAAC44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94EA6"/>
    <w:rsid w:val="000C2437"/>
    <w:rsid w:val="000F4CC9"/>
    <w:rsid w:val="0010075D"/>
    <w:rsid w:val="0012652A"/>
    <w:rsid w:val="00194345"/>
    <w:rsid w:val="00194A69"/>
    <w:rsid w:val="001A17DE"/>
    <w:rsid w:val="00201743"/>
    <w:rsid w:val="002414DE"/>
    <w:rsid w:val="00253E00"/>
    <w:rsid w:val="00256206"/>
    <w:rsid w:val="00265A5E"/>
    <w:rsid w:val="00293094"/>
    <w:rsid w:val="00295F58"/>
    <w:rsid w:val="002C47D1"/>
    <w:rsid w:val="002C4827"/>
    <w:rsid w:val="00322E29"/>
    <w:rsid w:val="003435F3"/>
    <w:rsid w:val="003876A1"/>
    <w:rsid w:val="003965D8"/>
    <w:rsid w:val="003A1635"/>
    <w:rsid w:val="003E3C3C"/>
    <w:rsid w:val="004911E7"/>
    <w:rsid w:val="004A0C46"/>
    <w:rsid w:val="004B5E54"/>
    <w:rsid w:val="004E363C"/>
    <w:rsid w:val="004E66B2"/>
    <w:rsid w:val="00507831"/>
    <w:rsid w:val="00521F40"/>
    <w:rsid w:val="00543D51"/>
    <w:rsid w:val="00567252"/>
    <w:rsid w:val="00570737"/>
    <w:rsid w:val="0059390A"/>
    <w:rsid w:val="005B4227"/>
    <w:rsid w:val="005B7A39"/>
    <w:rsid w:val="005C4742"/>
    <w:rsid w:val="006246B5"/>
    <w:rsid w:val="00642037"/>
    <w:rsid w:val="006437C8"/>
    <w:rsid w:val="006755A7"/>
    <w:rsid w:val="006821CE"/>
    <w:rsid w:val="00686C79"/>
    <w:rsid w:val="006B1162"/>
    <w:rsid w:val="006E7454"/>
    <w:rsid w:val="00704733"/>
    <w:rsid w:val="00706819"/>
    <w:rsid w:val="00714FF4"/>
    <w:rsid w:val="00730ED4"/>
    <w:rsid w:val="00737AA3"/>
    <w:rsid w:val="007439A4"/>
    <w:rsid w:val="007668C3"/>
    <w:rsid w:val="00767844"/>
    <w:rsid w:val="0077183C"/>
    <w:rsid w:val="0078402A"/>
    <w:rsid w:val="00797066"/>
    <w:rsid w:val="00797F75"/>
    <w:rsid w:val="007C43C2"/>
    <w:rsid w:val="0082236C"/>
    <w:rsid w:val="008551E5"/>
    <w:rsid w:val="00863FD6"/>
    <w:rsid w:val="008748B3"/>
    <w:rsid w:val="00874CE4"/>
    <w:rsid w:val="0088736E"/>
    <w:rsid w:val="008B358F"/>
    <w:rsid w:val="008C4F46"/>
    <w:rsid w:val="008D1F98"/>
    <w:rsid w:val="008D74D9"/>
    <w:rsid w:val="008E19BE"/>
    <w:rsid w:val="0093676F"/>
    <w:rsid w:val="00955E82"/>
    <w:rsid w:val="00971026"/>
    <w:rsid w:val="00972A34"/>
    <w:rsid w:val="009A1E45"/>
    <w:rsid w:val="009A702B"/>
    <w:rsid w:val="009B1C9F"/>
    <w:rsid w:val="009D022A"/>
    <w:rsid w:val="009D1C99"/>
    <w:rsid w:val="009E0842"/>
    <w:rsid w:val="00A47C18"/>
    <w:rsid w:val="00A532DB"/>
    <w:rsid w:val="00A64007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97F1E"/>
    <w:rsid w:val="00BB7951"/>
    <w:rsid w:val="00BC549B"/>
    <w:rsid w:val="00BC5824"/>
    <w:rsid w:val="00BE6CE8"/>
    <w:rsid w:val="00C14692"/>
    <w:rsid w:val="00C14BF7"/>
    <w:rsid w:val="00C241A4"/>
    <w:rsid w:val="00C345D1"/>
    <w:rsid w:val="00C62851"/>
    <w:rsid w:val="00C73D90"/>
    <w:rsid w:val="00C80CFB"/>
    <w:rsid w:val="00CB24BD"/>
    <w:rsid w:val="00CB7AF0"/>
    <w:rsid w:val="00D52C92"/>
    <w:rsid w:val="00D675F9"/>
    <w:rsid w:val="00D92AA8"/>
    <w:rsid w:val="00DB3A4E"/>
    <w:rsid w:val="00DD0C29"/>
    <w:rsid w:val="00E326CF"/>
    <w:rsid w:val="00E36C29"/>
    <w:rsid w:val="00E679EB"/>
    <w:rsid w:val="00E8015B"/>
    <w:rsid w:val="00EE7D02"/>
    <w:rsid w:val="00EF14DD"/>
    <w:rsid w:val="00F05238"/>
    <w:rsid w:val="00F102F3"/>
    <w:rsid w:val="00F46DA7"/>
    <w:rsid w:val="00F56247"/>
    <w:rsid w:val="00F63156"/>
    <w:rsid w:val="00FA3BF3"/>
    <w:rsid w:val="00FA3C20"/>
    <w:rsid w:val="00FD5269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B5147-BA60-DA46-A1A4-775815B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EE55B-D179-4431-B9E5-1364BD873C30}"/>
</file>

<file path=customXml/itemProps2.xml><?xml version="1.0" encoding="utf-8"?>
<ds:datastoreItem xmlns:ds="http://schemas.openxmlformats.org/officeDocument/2006/customXml" ds:itemID="{3E5060AB-42FC-4143-81B3-EA02248E6DF4}"/>
</file>

<file path=customXml/itemProps3.xml><?xml version="1.0" encoding="utf-8"?>
<ds:datastoreItem xmlns:ds="http://schemas.openxmlformats.org/officeDocument/2006/customXml" ds:itemID="{EB9F0D90-9743-4CCE-A71B-D334ECA89D95}"/>
</file>

<file path=customXml/itemProps4.xml><?xml version="1.0" encoding="utf-8"?>
<ds:datastoreItem xmlns:ds="http://schemas.openxmlformats.org/officeDocument/2006/customXml" ds:itemID="{4F03878A-1A4A-43ED-8F83-1BCC0F947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2019-01-25T11:35:00Z</cp:lastPrinted>
  <dcterms:created xsi:type="dcterms:W3CDTF">2019-01-25T11:35:00Z</dcterms:created>
  <dcterms:modified xsi:type="dcterms:W3CDTF">2019-01-25T11:40:00Z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