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FC" w:rsidRPr="008B26FC" w:rsidRDefault="008B26FC" w:rsidP="008B26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 w:bidi="my-MM"/>
        </w:rPr>
      </w:pPr>
      <w:bookmarkStart w:id="0" w:name="_GoBack"/>
      <w:bookmarkEnd w:id="0"/>
      <w:r w:rsidRPr="008B26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drawing>
          <wp:inline distT="0" distB="0" distL="0" distR="0" wp14:anchorId="7CF706C9" wp14:editId="2BCC44C2">
            <wp:extent cx="2781300" cy="1079500"/>
            <wp:effectExtent l="0" t="0" r="0" b="6350"/>
            <wp:docPr id="1" name="Picture 1" descr="\\oslvfil13\CommonUD$\99 - Diverse\UD felles\Logoer\3-Delegasjonslogoer\Norges_faste_delegasjon_Niva2_FN_Eng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slvfil13\CommonUD$\99 - Diverse\UD felles\Logoer\3-Delegasjonslogoer\Norges_faste_delegasjon_Niva2_FN_Engels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FC" w:rsidRPr="008B26FC" w:rsidRDefault="008B26FC" w:rsidP="008B26FC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8B26FC" w:rsidRPr="008B26FC" w:rsidRDefault="008B26FC" w:rsidP="008B26FC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8"/>
          <w:szCs w:val="20"/>
          <w:lang w:val="en-GB" w:eastAsia="zh-CN" w:bidi="my-MM"/>
        </w:rPr>
      </w:pPr>
      <w:r w:rsidRPr="008B26FC"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 xml:space="preserve">STATEMENT by </w:t>
      </w:r>
      <w:r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>Permanent Representative Hans Brattskar</w:t>
      </w:r>
    </w:p>
    <w:p w:rsidR="008B26FC" w:rsidRPr="008B26FC" w:rsidRDefault="008B26FC" w:rsidP="008B26FC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8B26FC" w:rsidRPr="008B26FC" w:rsidRDefault="008B26FC" w:rsidP="008B26FC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>32</w:t>
      </w:r>
      <w:r w:rsidRPr="008B26FC">
        <w:rPr>
          <w:rFonts w:ascii="Calibri" w:eastAsia="Times New Roman" w:hAnsi="Calibri" w:cs="Times New Roman"/>
          <w:b/>
          <w:bCs/>
          <w:sz w:val="28"/>
          <w:szCs w:val="20"/>
          <w:vertAlign w:val="superscript"/>
          <w:lang w:val="en-GB" w:eastAsia="nb-NO"/>
        </w:rPr>
        <w:t>nd</w:t>
      </w:r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 </w:t>
      </w:r>
      <w:r w:rsidRPr="008B26FC"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 Session</w:t>
      </w:r>
      <w:proofErr w:type="gramEnd"/>
      <w:r w:rsidRPr="008B26FC"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 of the Universal Periodic Review </w:t>
      </w:r>
    </w:p>
    <w:p w:rsidR="008B26FC" w:rsidRPr="008B26FC" w:rsidRDefault="008B26FC" w:rsidP="008B26FC">
      <w:pPr>
        <w:spacing w:after="0" w:line="240" w:lineRule="auto"/>
        <w:ind w:left="-567" w:right="-285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US" w:eastAsia="nb-NO"/>
        </w:rPr>
      </w:pPr>
    </w:p>
    <w:p w:rsidR="008B26FC" w:rsidRPr="008B26FC" w:rsidRDefault="008B26FC" w:rsidP="008B26FC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>Afghanistan</w:t>
      </w:r>
    </w:p>
    <w:p w:rsidR="008B26FC" w:rsidRPr="008B26FC" w:rsidRDefault="008B26FC" w:rsidP="008B26FC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 w:rsidRPr="008B26FC"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>21 January 2019</w:t>
      </w:r>
    </w:p>
    <w:p w:rsidR="008B26FC" w:rsidRPr="008B26FC" w:rsidRDefault="008B26FC" w:rsidP="008B26FC">
      <w:pPr>
        <w:spacing w:after="0" w:line="276" w:lineRule="auto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nb-NO"/>
        </w:rPr>
      </w:pPr>
    </w:p>
    <w:p w:rsidR="008B26FC" w:rsidRPr="008B26FC" w:rsidRDefault="008B26FC" w:rsidP="008B26FC">
      <w:pPr>
        <w:spacing w:after="240" w:line="276" w:lineRule="auto"/>
        <w:ind w:left="-142" w:right="-144"/>
        <w:jc w:val="right"/>
        <w:outlineLvl w:val="0"/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</w:pPr>
      <w:r w:rsidRPr="008B26FC"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  <w:t>Check against delivery</w:t>
      </w:r>
    </w:p>
    <w:p w:rsidR="008B26FC" w:rsidRDefault="008B26FC" w:rsidP="008B26FC">
      <w:pPr>
        <w:pStyle w:val="NormalWeb"/>
        <w:rPr>
          <w:rFonts w:asciiTheme="minorHAnsi" w:hAnsiTheme="minorHAnsi" w:cstheme="minorBidi"/>
          <w:lang w:val="en"/>
        </w:rPr>
      </w:pPr>
      <w:r w:rsidRPr="1D875B27">
        <w:rPr>
          <w:rFonts w:asciiTheme="minorHAnsi" w:hAnsiTheme="minorHAnsi" w:cstheme="minorBidi"/>
          <w:lang w:val="en"/>
        </w:rPr>
        <w:t xml:space="preserve">President, </w:t>
      </w:r>
    </w:p>
    <w:p w:rsidR="008B26FC" w:rsidRPr="00D21549" w:rsidRDefault="008B26FC" w:rsidP="008B26FC">
      <w:pPr>
        <w:pStyle w:val="NormalWeb"/>
        <w:rPr>
          <w:rFonts w:asciiTheme="minorHAnsi" w:hAnsiTheme="minorHAnsi" w:cstheme="minorHAnsi"/>
          <w:lang w:val="en"/>
        </w:rPr>
      </w:pPr>
      <w:r w:rsidRPr="1D875B27">
        <w:rPr>
          <w:rFonts w:asciiTheme="minorHAnsi" w:hAnsiTheme="minorHAnsi" w:cstheme="minorBidi"/>
          <w:lang w:val="en"/>
        </w:rPr>
        <w:t xml:space="preserve">Norway notes the positive steps taken and appreciates considerable degree of conformity between Afghanistan’s legislative framework and international Human Rights obligations, </w:t>
      </w:r>
      <w:r w:rsidR="00D21549">
        <w:rPr>
          <w:rFonts w:asciiTheme="minorHAnsi" w:hAnsiTheme="minorHAnsi" w:cstheme="minorBidi"/>
          <w:lang w:val="en"/>
        </w:rPr>
        <w:t>(</w:t>
      </w:r>
      <w:r w:rsidRPr="1D875B27">
        <w:rPr>
          <w:rFonts w:asciiTheme="minorHAnsi" w:hAnsiTheme="minorHAnsi" w:cstheme="minorBidi"/>
          <w:lang w:val="en"/>
        </w:rPr>
        <w:t>as was recommended by Norway in the 2014 UPR</w:t>
      </w:r>
      <w:r w:rsidR="00082590">
        <w:rPr>
          <w:rFonts w:asciiTheme="minorHAnsi" w:hAnsiTheme="minorHAnsi" w:cstheme="minorBidi"/>
          <w:lang w:val="en"/>
        </w:rPr>
        <w:t>)</w:t>
      </w:r>
      <w:r w:rsidRPr="1D875B27">
        <w:rPr>
          <w:rFonts w:asciiTheme="minorHAnsi" w:hAnsiTheme="minorHAnsi" w:cstheme="minorBidi"/>
          <w:lang w:val="en"/>
        </w:rPr>
        <w:t>. Norway also appreciates efforts to improve women’s situation, but remains worried about quality of implementation. Norway commends the follow-</w:t>
      </w:r>
      <w:r w:rsidRPr="00D21549">
        <w:rPr>
          <w:rFonts w:asciiTheme="minorHAnsi" w:hAnsiTheme="minorHAnsi" w:cstheme="minorBidi"/>
          <w:lang w:val="en"/>
        </w:rPr>
        <w:t xml:space="preserve">up </w:t>
      </w:r>
      <w:r w:rsidRPr="00D21549">
        <w:rPr>
          <w:rFonts w:asciiTheme="minorHAnsi" w:hAnsiTheme="minorHAnsi" w:cstheme="minorHAnsi"/>
          <w:lang w:val="en"/>
        </w:rPr>
        <w:t xml:space="preserve">of </w:t>
      </w:r>
      <w:r w:rsidR="00D21549" w:rsidRPr="00D21549">
        <w:rPr>
          <w:rFonts w:asciiTheme="minorHAnsi" w:hAnsiTheme="minorHAnsi" w:cstheme="minorHAnsi"/>
          <w:lang w:val="en"/>
        </w:rPr>
        <w:t xml:space="preserve">Afghan Independent Human Rights Commission’s </w:t>
      </w:r>
      <w:r w:rsidRPr="00D21549">
        <w:rPr>
          <w:rFonts w:asciiTheme="minorHAnsi" w:hAnsiTheme="minorHAnsi" w:cstheme="minorHAnsi"/>
          <w:lang w:val="en"/>
        </w:rPr>
        <w:t xml:space="preserve">recommendations. </w:t>
      </w:r>
    </w:p>
    <w:p w:rsidR="008B26FC" w:rsidRPr="00D21549" w:rsidRDefault="008B26FC" w:rsidP="008B26FC">
      <w:pPr>
        <w:pStyle w:val="NormalWeb"/>
        <w:rPr>
          <w:rFonts w:asciiTheme="minorHAnsi" w:hAnsiTheme="minorHAnsi" w:cstheme="minorBidi"/>
          <w:lang w:val="en"/>
        </w:rPr>
      </w:pPr>
      <w:r w:rsidRPr="00D21549">
        <w:rPr>
          <w:rFonts w:asciiTheme="minorHAnsi" w:hAnsiTheme="minorHAnsi" w:cstheme="minorBidi"/>
          <w:lang w:val="en"/>
        </w:rPr>
        <w:t>Norway recommends to:</w:t>
      </w:r>
    </w:p>
    <w:p w:rsidR="008B26FC" w:rsidRPr="00517B77" w:rsidRDefault="008B26FC" w:rsidP="008B26FC">
      <w:pPr>
        <w:pStyle w:val="NormalWeb"/>
        <w:numPr>
          <w:ilvl w:val="0"/>
          <w:numId w:val="1"/>
        </w:numPr>
        <w:rPr>
          <w:rFonts w:asciiTheme="minorHAnsi" w:hAnsiTheme="minorHAnsi" w:cstheme="minorBidi"/>
          <w:lang w:val="en"/>
        </w:rPr>
      </w:pPr>
      <w:r w:rsidRPr="1D875B27">
        <w:rPr>
          <w:rFonts w:asciiTheme="minorHAnsi" w:hAnsiTheme="minorHAnsi" w:cstheme="minorBidi"/>
          <w:lang w:val="en"/>
        </w:rPr>
        <w:t>Promptly investigate and prosecute cases of violence against women</w:t>
      </w:r>
      <w:r w:rsidRPr="7C5D9E4B">
        <w:rPr>
          <w:rFonts w:asciiTheme="minorHAnsi" w:hAnsiTheme="minorHAnsi" w:cstheme="minorBidi"/>
          <w:lang w:val="en"/>
        </w:rPr>
        <w:t xml:space="preserve"> in line with international human rights standards</w:t>
      </w:r>
      <w:r>
        <w:rPr>
          <w:rFonts w:asciiTheme="minorHAnsi" w:hAnsiTheme="minorHAnsi" w:cstheme="minorBidi"/>
          <w:lang w:val="en"/>
        </w:rPr>
        <w:t xml:space="preserve">, </w:t>
      </w:r>
      <w:r w:rsidRPr="1D875B27">
        <w:rPr>
          <w:rFonts w:asciiTheme="minorHAnsi" w:hAnsiTheme="minorHAnsi" w:cstheme="minorBidi"/>
          <w:lang w:val="en"/>
        </w:rPr>
        <w:t>including so-called honor killings</w:t>
      </w:r>
      <w:r>
        <w:rPr>
          <w:rFonts w:asciiTheme="minorHAnsi" w:hAnsiTheme="minorHAnsi" w:cstheme="minorBidi"/>
          <w:lang w:val="en"/>
        </w:rPr>
        <w:t>.</w:t>
      </w:r>
      <w:r w:rsidRPr="00862AF5">
        <w:rPr>
          <w:lang w:val="en-US"/>
        </w:rPr>
        <w:br/>
      </w:r>
    </w:p>
    <w:p w:rsidR="008B26FC" w:rsidRPr="00517B77" w:rsidRDefault="008B26FC" w:rsidP="008B26FC">
      <w:pPr>
        <w:pStyle w:val="NormalWeb"/>
        <w:numPr>
          <w:ilvl w:val="0"/>
          <w:numId w:val="1"/>
        </w:numPr>
        <w:rPr>
          <w:rFonts w:asciiTheme="minorHAnsi" w:hAnsiTheme="minorHAnsi" w:cstheme="minorBidi"/>
          <w:lang w:val="en"/>
        </w:rPr>
      </w:pPr>
      <w:r w:rsidRPr="1D875B27">
        <w:rPr>
          <w:rFonts w:asciiTheme="minorHAnsi" w:hAnsiTheme="minorHAnsi" w:cstheme="minorBidi"/>
          <w:lang w:val="en"/>
        </w:rPr>
        <w:t xml:space="preserve">Ensure protection of schools, education and pupils in accordance with Afghanistan’s </w:t>
      </w:r>
      <w:r w:rsidRPr="7C5D9E4B">
        <w:rPr>
          <w:rFonts w:asciiTheme="minorHAnsi" w:hAnsiTheme="minorHAnsi" w:cstheme="minorBidi"/>
          <w:lang w:val="en"/>
        </w:rPr>
        <w:t xml:space="preserve">commitment as a </w:t>
      </w:r>
      <w:r w:rsidRPr="1D875B27">
        <w:rPr>
          <w:rFonts w:asciiTheme="minorHAnsi" w:hAnsiTheme="minorHAnsi" w:cstheme="minorBidi"/>
          <w:lang w:val="en"/>
        </w:rPr>
        <w:t>signatory of the Safe School Declaration [in Oslo, May 2015 and in line with SDG goals].</w:t>
      </w:r>
      <w:r w:rsidRPr="00862AF5">
        <w:rPr>
          <w:lang w:val="en-US"/>
        </w:rPr>
        <w:br/>
      </w:r>
    </w:p>
    <w:p w:rsidR="008B26FC" w:rsidRPr="00517B77" w:rsidRDefault="008B26FC" w:rsidP="008B26FC">
      <w:pPr>
        <w:pStyle w:val="NormalWeb"/>
        <w:numPr>
          <w:ilvl w:val="0"/>
          <w:numId w:val="1"/>
        </w:numPr>
        <w:rPr>
          <w:rFonts w:asciiTheme="minorHAnsi" w:hAnsiTheme="minorHAnsi" w:cstheme="minorBidi"/>
          <w:lang w:val="en"/>
        </w:rPr>
      </w:pPr>
      <w:r w:rsidRPr="7C5D9E4B">
        <w:rPr>
          <w:rFonts w:asciiTheme="minorHAnsi" w:hAnsiTheme="minorHAnsi" w:cstheme="minorBidi"/>
          <w:lang w:val="en"/>
        </w:rPr>
        <w:t>Take further concrete measures</w:t>
      </w:r>
      <w:r w:rsidRPr="1D875B27">
        <w:rPr>
          <w:rFonts w:asciiTheme="minorHAnsi" w:hAnsiTheme="minorHAnsi" w:cstheme="minorBidi"/>
          <w:lang w:val="en"/>
        </w:rPr>
        <w:t xml:space="preserve"> to improve conditions for journalists and human rights </w:t>
      </w:r>
      <w:r w:rsidRPr="7C5D9E4B">
        <w:rPr>
          <w:rFonts w:asciiTheme="minorHAnsi" w:hAnsiTheme="minorHAnsi" w:cstheme="minorBidi"/>
          <w:lang w:val="en"/>
        </w:rPr>
        <w:t>defenders</w:t>
      </w:r>
      <w:r w:rsidRPr="00862AF5">
        <w:rPr>
          <w:lang w:val="en-US"/>
        </w:rPr>
        <w:br/>
      </w:r>
    </w:p>
    <w:p w:rsidR="008B26FC" w:rsidRPr="00517B77" w:rsidRDefault="008B26FC" w:rsidP="008B26FC">
      <w:pPr>
        <w:pStyle w:val="NormalWeb"/>
        <w:numPr>
          <w:ilvl w:val="0"/>
          <w:numId w:val="1"/>
        </w:numPr>
        <w:rPr>
          <w:rFonts w:asciiTheme="minorHAnsi" w:hAnsiTheme="minorHAnsi" w:cstheme="minorBidi"/>
          <w:lang w:val="en"/>
        </w:rPr>
      </w:pPr>
      <w:r w:rsidRPr="1D875B27">
        <w:rPr>
          <w:rFonts w:asciiTheme="minorHAnsi" w:hAnsiTheme="minorHAnsi" w:cstheme="minorBidi"/>
          <w:lang w:val="en"/>
        </w:rPr>
        <w:t>Promptly and thoroughly investigate all allegations of torture of detainees, enforced disappearances and summary executions, and prosecute those responsible</w:t>
      </w:r>
      <w:r w:rsidRPr="7C5D9E4B">
        <w:rPr>
          <w:rFonts w:asciiTheme="minorHAnsi" w:hAnsiTheme="minorHAnsi" w:cstheme="minorBidi"/>
          <w:lang w:val="en"/>
        </w:rPr>
        <w:t xml:space="preserve"> in line with international human rights standards</w:t>
      </w:r>
      <w:r w:rsidRPr="1D875B27">
        <w:rPr>
          <w:rFonts w:asciiTheme="minorHAnsi" w:hAnsiTheme="minorHAnsi" w:cstheme="minorBidi"/>
          <w:lang w:val="en"/>
        </w:rPr>
        <w:t>.</w:t>
      </w:r>
    </w:p>
    <w:p w:rsidR="008B26FC" w:rsidRDefault="008B26FC" w:rsidP="008B26FC">
      <w:pPr>
        <w:pStyle w:val="NormalWeb"/>
        <w:rPr>
          <w:rFonts w:asciiTheme="minorHAnsi" w:hAnsiTheme="minorHAnsi" w:cstheme="minorBidi"/>
        </w:rPr>
      </w:pPr>
      <w:proofErr w:type="spellStart"/>
      <w:r w:rsidRPr="1D875B27">
        <w:rPr>
          <w:rFonts w:asciiTheme="minorHAnsi" w:hAnsiTheme="minorHAnsi" w:cstheme="minorBidi"/>
        </w:rPr>
        <w:t>Thank</w:t>
      </w:r>
      <w:proofErr w:type="spellEnd"/>
      <w:r w:rsidRPr="1D875B27">
        <w:rPr>
          <w:rFonts w:asciiTheme="minorHAnsi" w:hAnsiTheme="minorHAnsi" w:cstheme="minorBidi"/>
        </w:rPr>
        <w:t xml:space="preserve"> </w:t>
      </w:r>
      <w:proofErr w:type="spellStart"/>
      <w:r w:rsidRPr="1D875B27">
        <w:rPr>
          <w:rFonts w:asciiTheme="minorHAnsi" w:hAnsiTheme="minorHAnsi" w:cstheme="minorBidi"/>
        </w:rPr>
        <w:t>you</w:t>
      </w:r>
      <w:proofErr w:type="spellEnd"/>
      <w:r w:rsidRPr="1D875B27">
        <w:rPr>
          <w:rFonts w:asciiTheme="minorHAnsi" w:hAnsiTheme="minorHAnsi" w:cstheme="minorBidi"/>
        </w:rPr>
        <w:t>.</w:t>
      </w:r>
    </w:p>
    <w:p w:rsidR="006460EA" w:rsidRDefault="006460EA"/>
    <w:sectPr w:rsidR="0064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2562"/>
    <w:multiLevelType w:val="hybridMultilevel"/>
    <w:tmpl w:val="C87274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FC"/>
    <w:rsid w:val="0004255B"/>
    <w:rsid w:val="00082590"/>
    <w:rsid w:val="001C0AB9"/>
    <w:rsid w:val="006460EA"/>
    <w:rsid w:val="0067398A"/>
    <w:rsid w:val="008B26FC"/>
    <w:rsid w:val="00D2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B17A4-C6B9-41E7-8925-EA9A7B3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B3AF9-DC8A-4D4F-AE21-E2AD123BFBC4}"/>
</file>

<file path=customXml/itemProps2.xml><?xml version="1.0" encoding="utf-8"?>
<ds:datastoreItem xmlns:ds="http://schemas.openxmlformats.org/officeDocument/2006/customXml" ds:itemID="{A7B547CF-E466-4ED9-ABD6-80B0421D81C2}"/>
</file>

<file path=customXml/itemProps3.xml><?xml version="1.0" encoding="utf-8"?>
<ds:datastoreItem xmlns:ds="http://schemas.openxmlformats.org/officeDocument/2006/customXml" ds:itemID="{D542562D-C251-4DC1-8716-3EE155529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Alvsåker, Herborg Fiskaa</dc:creator>
  <cp:keywords/>
  <dc:description/>
  <cp:lastModifiedBy>Baugstø, Helena Mei Adshead</cp:lastModifiedBy>
  <cp:revision>2</cp:revision>
  <dcterms:created xsi:type="dcterms:W3CDTF">2019-01-21T07:44:00Z</dcterms:created>
  <dcterms:modified xsi:type="dcterms:W3CDTF">2019-01-21T07:44:00Z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