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BAB0AE" w14:textId="77777777" w:rsidR="00056AC1" w:rsidRDefault="003C62AA">
      <w:pPr>
        <w:pStyle w:val="Body"/>
        <w:jc w:val="right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Check Against Delivery</w:t>
      </w:r>
    </w:p>
    <w:p w14:paraId="7F18F420" w14:textId="77777777" w:rsidR="00056AC1" w:rsidRDefault="00056AC1">
      <w:pPr>
        <w:pStyle w:val="Body"/>
        <w:jc w:val="right"/>
        <w:rPr>
          <w:i/>
          <w:iCs/>
          <w:sz w:val="28"/>
          <w:szCs w:val="28"/>
        </w:rPr>
      </w:pPr>
    </w:p>
    <w:p w14:paraId="7B5A65A2" w14:textId="77777777" w:rsidR="00056AC1" w:rsidRDefault="003C62AA">
      <w:pPr>
        <w:pStyle w:val="Bod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F9FB5A" w14:textId="77777777" w:rsidR="00056AC1" w:rsidRDefault="003C62A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 by the delegation of Nepal</w:t>
      </w:r>
    </w:p>
    <w:p w14:paraId="722C7D24" w14:textId="77777777" w:rsidR="00056AC1" w:rsidRDefault="003C62A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 of the Kingdom of Saudi Arabia</w:t>
      </w:r>
    </w:p>
    <w:p w14:paraId="2FC9B8ED" w14:textId="77777777" w:rsidR="00056AC1" w:rsidRDefault="003C62A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31st Session of the Working Group on the Universal Periodic Review</w:t>
      </w:r>
    </w:p>
    <w:p w14:paraId="68C836D5" w14:textId="77777777" w:rsidR="00056AC1" w:rsidRDefault="003C62A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November 2018</w:t>
      </w:r>
    </w:p>
    <w:p w14:paraId="63EC884E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04360D01" w14:textId="77777777" w:rsidR="00056AC1" w:rsidRDefault="003C62AA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Mr. President,</w:t>
      </w:r>
    </w:p>
    <w:p w14:paraId="289D8BB9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3F060010" w14:textId="77777777" w:rsidR="00056AC1" w:rsidRDefault="003C62AA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Nepal welcomes the delegation of Kingdom of Saudi Arabia led by the President of the Human Rights Commission to the 3rd UPR cycle. </w:t>
      </w:r>
    </w:p>
    <w:p w14:paraId="643D4711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1DDC4E8A" w14:textId="4C420589" w:rsidR="00056AC1" w:rsidRDefault="003C62AA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90CB2">
        <w:rPr>
          <w:sz w:val="28"/>
          <w:szCs w:val="28"/>
        </w:rPr>
        <w:t xml:space="preserve">appreciate </w:t>
      </w:r>
      <w:r>
        <w:rPr>
          <w:sz w:val="28"/>
          <w:szCs w:val="28"/>
        </w:rPr>
        <w:t xml:space="preserve">Saudi Arabia </w:t>
      </w:r>
      <w:r w:rsidR="00290CB2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their comprehensive report, which highlights the important measures taken for the implementation of the recommendations made during the second review. </w:t>
      </w:r>
    </w:p>
    <w:p w14:paraId="27BDC52C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3641F5F0" w14:textId="77777777" w:rsidR="00056AC1" w:rsidRDefault="003C62AA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welcome the implementation of the Saudi Vision 2030 and also note the important role played by the King </w:t>
      </w:r>
      <w:proofErr w:type="spellStart"/>
      <w:r>
        <w:rPr>
          <w:sz w:val="28"/>
          <w:szCs w:val="28"/>
        </w:rPr>
        <w:t>Abdulaziz</w:t>
      </w:r>
      <w:proofErr w:type="spellEnd"/>
      <w:r>
        <w:rPr>
          <w:sz w:val="28"/>
          <w:szCs w:val="28"/>
        </w:rPr>
        <w:t xml:space="preserve"> Centre for National Dialogue in advancing the values of moderation and promoting national cohesion. </w:t>
      </w:r>
    </w:p>
    <w:p w14:paraId="1B84C092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4EDC6659" w14:textId="77777777" w:rsidR="00056AC1" w:rsidRDefault="003C62AA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initiatives taken by Saudi Arabia to promote and protect the wellbeing of women, children, the elderly and persons with disabilities are appreciable.   </w:t>
      </w:r>
    </w:p>
    <w:p w14:paraId="784F3ED8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132ACE7F" w14:textId="77777777" w:rsidR="00056AC1" w:rsidRDefault="003C62AA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Nepal wishes to recommend the following for their consideration: </w:t>
      </w:r>
    </w:p>
    <w:p w14:paraId="6C409282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04418429" w14:textId="77777777" w:rsidR="00056AC1" w:rsidRDefault="003C62A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Continue further measures to promote and protect the rights of migrant workers by ensuring effective access to complaint mechanism and enhancing their welfare. </w:t>
      </w:r>
    </w:p>
    <w:p w14:paraId="6077C0FB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6D333DD7" w14:textId="0DE9F439" w:rsidR="00056AC1" w:rsidRDefault="003C62A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Enhance measures to protect and promote the freedom of opinion and expression.</w:t>
      </w:r>
    </w:p>
    <w:p w14:paraId="61D84715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412BD2B6" w14:textId="5738C9C8" w:rsidR="00056AC1" w:rsidRDefault="006C3939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r w:rsidR="003C62AA">
        <w:rPr>
          <w:sz w:val="28"/>
          <w:szCs w:val="28"/>
        </w:rPr>
        <w:t>Saudi Arabia a successful UPR.</w:t>
      </w:r>
    </w:p>
    <w:p w14:paraId="493F610A" w14:textId="77777777" w:rsidR="00056AC1" w:rsidRDefault="00056AC1">
      <w:pPr>
        <w:pStyle w:val="Body"/>
        <w:jc w:val="both"/>
        <w:rPr>
          <w:sz w:val="28"/>
          <w:szCs w:val="28"/>
        </w:rPr>
      </w:pPr>
    </w:p>
    <w:p w14:paraId="1F7A9D11" w14:textId="77777777" w:rsidR="00056AC1" w:rsidRDefault="003C62AA">
      <w:pPr>
        <w:pStyle w:val="Body"/>
        <w:jc w:val="both"/>
      </w:pPr>
      <w:r>
        <w:rPr>
          <w:sz w:val="28"/>
          <w:szCs w:val="28"/>
        </w:rPr>
        <w:t>Thank you.</w:t>
      </w:r>
    </w:p>
    <w:sectPr w:rsidR="00056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7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5A46" w14:textId="77777777" w:rsidR="00E83B44" w:rsidRDefault="00E83B44">
      <w:r>
        <w:separator/>
      </w:r>
    </w:p>
  </w:endnote>
  <w:endnote w:type="continuationSeparator" w:id="0">
    <w:p w14:paraId="0E78B677" w14:textId="77777777" w:rsidR="00E83B44" w:rsidRDefault="00E8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Kalimati">
    <w:altName w:val="Helvetica Neue Bold Condensed"/>
    <w:panose1 w:val="00000400000000000000"/>
    <w:charset w:val="01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EF06" w14:textId="77777777" w:rsidR="0003125D" w:rsidRDefault="00031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7B30" w14:textId="77777777" w:rsidR="00056AC1" w:rsidRDefault="00056AC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9E49" w14:textId="77777777" w:rsidR="0003125D" w:rsidRDefault="00031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2F87" w14:textId="77777777" w:rsidR="00E83B44" w:rsidRDefault="00E83B44">
      <w:r>
        <w:separator/>
      </w:r>
    </w:p>
  </w:footnote>
  <w:footnote w:type="continuationSeparator" w:id="0">
    <w:p w14:paraId="43F02A8D" w14:textId="77777777" w:rsidR="00E83B44" w:rsidRDefault="00E8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EF97" w14:textId="77777777" w:rsidR="0003125D" w:rsidRDefault="00031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FF79" w14:textId="77777777" w:rsidR="00056AC1" w:rsidRDefault="00056AC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82CF" w14:textId="77777777" w:rsidR="0003125D" w:rsidRDefault="00031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3A3F"/>
    <w:multiLevelType w:val="hybridMultilevel"/>
    <w:tmpl w:val="AEBE2A90"/>
    <w:numStyleLink w:val="ImportedStyle1"/>
  </w:abstractNum>
  <w:abstractNum w:abstractNumId="1" w15:restartNumberingAfterBreak="0">
    <w:nsid w:val="7DCC4964"/>
    <w:multiLevelType w:val="hybridMultilevel"/>
    <w:tmpl w:val="AEBE2A90"/>
    <w:styleLink w:val="ImportedStyle1"/>
    <w:lvl w:ilvl="0" w:tplc="381AC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4AF1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03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EDF5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658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E355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C1F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4413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63E3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C1"/>
    <w:rsid w:val="0003125D"/>
    <w:rsid w:val="00056AC1"/>
    <w:rsid w:val="00121FBA"/>
    <w:rsid w:val="00135582"/>
    <w:rsid w:val="00155743"/>
    <w:rsid w:val="00290CB2"/>
    <w:rsid w:val="003C62AA"/>
    <w:rsid w:val="005B65F5"/>
    <w:rsid w:val="00657A2F"/>
    <w:rsid w:val="006C3939"/>
    <w:rsid w:val="00850FB3"/>
    <w:rsid w:val="00C473FC"/>
    <w:rsid w:val="00E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CC177"/>
  <w15:docId w15:val="{EF67439F-C7CD-C64F-B79E-E512E5ED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1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5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31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5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60E97-7A27-4ABB-9D7B-B53384E7C8A4}"/>
</file>

<file path=customXml/itemProps2.xml><?xml version="1.0" encoding="utf-8"?>
<ds:datastoreItem xmlns:ds="http://schemas.openxmlformats.org/officeDocument/2006/customXml" ds:itemID="{31D8B96D-8109-435A-AC16-2C1DD696714C}"/>
</file>

<file path=customXml/itemProps3.xml><?xml version="1.0" encoding="utf-8"?>
<ds:datastoreItem xmlns:ds="http://schemas.openxmlformats.org/officeDocument/2006/customXml" ds:itemID="{D12F2EB2-5801-4C15-BF2A-DDCFC8317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sagarmatha</dc:creator>
  <cp:lastModifiedBy>Mission Nepal</cp:lastModifiedBy>
  <cp:revision>2</cp:revision>
  <dcterms:created xsi:type="dcterms:W3CDTF">2018-11-05T18:19:00Z</dcterms:created>
  <dcterms:modified xsi:type="dcterms:W3CDTF">2018-11-05T18:19:00Z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