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media/image2.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b/>
          <w:bCs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2411730</wp:posOffset>
            </wp:positionH>
            <wp:positionV relativeFrom="line">
              <wp:posOffset>121920</wp:posOffset>
            </wp:positionV>
            <wp:extent cx="1297305" cy="107886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  <w:t>Déclaration d’Haïti</w:t>
      </w:r>
    </w:p>
    <w:p>
      <w:pPr>
        <w:pStyle w:val="style0"/>
        <w:jc w:val="center"/>
      </w:pPr>
      <w:r>
        <w:rPr>
          <w:b/>
          <w:bCs/>
        </w:rPr>
        <w:t>31ème session du Groupe de travail</w:t>
      </w:r>
    </w:p>
    <w:p>
      <w:pPr>
        <w:pStyle w:val="style0"/>
        <w:jc w:val="center"/>
      </w:pPr>
      <w:r>
        <w:rPr>
          <w:b/>
          <w:bCs/>
        </w:rPr>
        <w:t>5-16 novembre</w:t>
      </w:r>
    </w:p>
    <w:p>
      <w:pPr>
        <w:pStyle w:val="style0"/>
        <w:jc w:val="center"/>
      </w:pPr>
      <w:r>
        <w:rPr>
          <w:b/>
          <w:bCs/>
        </w:rPr>
      </w:r>
    </w:p>
    <w:p>
      <w:pPr>
        <w:pStyle w:val="style0"/>
        <w:jc w:val="center"/>
      </w:pPr>
      <w:r>
        <w:rPr>
          <w:b/>
          <w:bCs/>
        </w:rPr>
        <w:t>Examen Périodique Universel</w:t>
      </w:r>
    </w:p>
    <w:p>
      <w:pPr>
        <w:pStyle w:val="style0"/>
        <w:jc w:val="center"/>
      </w:pPr>
      <w:r>
        <w:rPr>
          <w:b/>
          <w:bCs/>
        </w:rPr>
        <w:t>MALASIE</w:t>
      </w:r>
    </w:p>
    <w:p>
      <w:pPr>
        <w:pStyle w:val="style0"/>
        <w:jc w:val="center"/>
      </w:pPr>
      <w:r>
        <w:rPr>
          <w:b/>
          <w:bCs/>
        </w:rPr>
        <w:t>8 Novembre 2018</w:t>
      </w:r>
    </w:p>
    <w:p>
      <w:pPr>
        <w:pStyle w:val="style0"/>
        <w:jc w:val="both"/>
      </w:pPr>
      <w:r>
        <w:rPr/>
        <w:t xml:space="preserve"> </w:t>
      </w:r>
    </w:p>
    <w:p>
      <w:pPr>
        <w:pStyle w:val="style0"/>
        <w:jc w:val="both"/>
      </w:pPr>
      <w:r>
        <w:rPr/>
        <w:t>Merci Monsieur le Président</w:t>
      </w:r>
    </w:p>
    <w:p>
      <w:pPr>
        <w:pStyle w:val="style0"/>
        <w:jc w:val="both"/>
      </w:pPr>
      <w:r>
        <w:rPr/>
        <w:t xml:space="preserve"> </w:t>
      </w:r>
    </w:p>
    <w:p>
      <w:pPr>
        <w:pStyle w:val="style0"/>
        <w:jc w:val="both"/>
      </w:pPr>
      <w:r>
        <w:rPr/>
        <w:t>La Délégation haïtienne accueille les représentants du Gouvernement de la Malaisie, et nous les</w:t>
      </w:r>
    </w:p>
    <w:p>
      <w:pPr>
        <w:pStyle w:val="style0"/>
        <w:jc w:val="both"/>
      </w:pPr>
      <w:r>
        <w:rPr/>
        <w:t>remercions d'avoir fourni un rapport national qui répond directement aux recommandations</w:t>
      </w:r>
    </w:p>
    <w:p>
      <w:pPr>
        <w:pStyle w:val="style0"/>
        <w:jc w:val="both"/>
      </w:pPr>
      <w:r>
        <w:rPr/>
        <w:t>acceptées formulées lors de l'examen du deuxième cycle.</w:t>
      </w:r>
    </w:p>
    <w:p>
      <w:pPr>
        <w:pStyle w:val="style0"/>
        <w:jc w:val="both"/>
      </w:pPr>
      <w:r>
        <w:rPr/>
        <w:t xml:space="preserve"> </w:t>
      </w:r>
    </w:p>
    <w:p>
      <w:pPr>
        <w:pStyle w:val="style0"/>
        <w:jc w:val="both"/>
      </w:pPr>
      <w:r>
        <w:rPr>
          <w:b/>
          <w:bCs/>
        </w:rPr>
        <w:t>Haïti souhaite faire quatre recommandations :</w:t>
      </w:r>
    </w:p>
    <w:p>
      <w:pPr>
        <w:pStyle w:val="style0"/>
        <w:jc w:val="both"/>
      </w:pPr>
      <w:r>
        <w:rPr>
          <w:b/>
          <w:bCs/>
        </w:rPr>
        <w:t xml:space="preserve"> </w:t>
      </w:r>
    </w:p>
    <w:p>
      <w:pPr>
        <w:pStyle w:val="style0"/>
        <w:jc w:val="both"/>
      </w:pPr>
      <w:r>
        <w:rPr>
          <w:b/>
          <w:bCs/>
        </w:rPr>
        <w:t>1          /           Pour le suivi des recommandations numéro 146.87 et 146.152 du deuxième</w:t>
      </w:r>
    </w:p>
    <w:p>
      <w:pPr>
        <w:pStyle w:val="style0"/>
        <w:jc w:val="both"/>
      </w:pPr>
      <w:r>
        <w:rPr>
          <w:b/>
          <w:bCs/>
        </w:rPr>
        <w:t>cycle, modifier la loi sur l’enregistrement national afin de supprimer toute mention de la</w:t>
      </w:r>
    </w:p>
    <w:p>
      <w:pPr>
        <w:pStyle w:val="style0"/>
        <w:jc w:val="both"/>
      </w:pPr>
      <w:r>
        <w:rPr>
          <w:b/>
          <w:bCs/>
        </w:rPr>
        <w:t>religion sur les cartes d’identité ;</w:t>
      </w:r>
    </w:p>
    <w:p>
      <w:pPr>
        <w:pStyle w:val="style0"/>
        <w:jc w:val="both"/>
      </w:pPr>
      <w:r>
        <w:rPr>
          <w:b/>
          <w:bCs/>
        </w:rPr>
      </w:r>
    </w:p>
    <w:p>
      <w:pPr>
        <w:pStyle w:val="style0"/>
        <w:jc w:val="both"/>
      </w:pPr>
      <w:r>
        <w:rPr>
          <w:b/>
          <w:bCs/>
        </w:rPr>
        <w:t>2          /           Pour le suivi des recommandations numéro 146.87 et 146.152 du deuxième</w:t>
      </w:r>
    </w:p>
    <w:p>
      <w:pPr>
        <w:pStyle w:val="style0"/>
        <w:jc w:val="both"/>
      </w:pPr>
      <w:r>
        <w:rPr>
          <w:b/>
          <w:bCs/>
        </w:rPr>
        <w:t>cycle, prendre les mesures nécessaires pour que toutes les personnes puissent exercer</w:t>
      </w:r>
    </w:p>
    <w:p>
      <w:pPr>
        <w:pStyle w:val="style0"/>
        <w:jc w:val="both"/>
      </w:pPr>
      <w:r>
        <w:rPr>
          <w:b/>
          <w:bCs/>
        </w:rPr>
        <w:t>librement leur droit à la liberté de religion et de conviction, et notamment en ce qui concerne</w:t>
      </w:r>
    </w:p>
    <w:p>
      <w:pPr>
        <w:pStyle w:val="style0"/>
        <w:jc w:val="both"/>
      </w:pPr>
      <w:r>
        <w:rPr>
          <w:b/>
          <w:bCs/>
        </w:rPr>
        <w:t>le droit de changer de religion sans craindre de sanction judiciaire ;</w:t>
      </w:r>
    </w:p>
    <w:p>
      <w:pPr>
        <w:pStyle w:val="style0"/>
        <w:jc w:val="both"/>
      </w:pPr>
      <w:r>
        <w:rPr>
          <w:b/>
          <w:bCs/>
        </w:rPr>
      </w:r>
    </w:p>
    <w:p>
      <w:pPr>
        <w:pStyle w:val="style0"/>
        <w:jc w:val="both"/>
      </w:pPr>
      <w:r>
        <w:rPr>
          <w:b/>
          <w:bCs/>
        </w:rPr>
        <w:t>3 / Prendre des mesures pour harmoniser les lois et les politiques en matière de</w:t>
      </w:r>
    </w:p>
    <w:p>
      <w:pPr>
        <w:pStyle w:val="style0"/>
        <w:jc w:val="both"/>
      </w:pPr>
      <w:r>
        <w:rPr>
          <w:b/>
          <w:bCs/>
        </w:rPr>
        <w:t>nationalité afin de garantir aux femmes et aux hommes de Malaisie des droits égaux en</w:t>
      </w:r>
    </w:p>
    <w:p>
      <w:pPr>
        <w:pStyle w:val="style0"/>
        <w:jc w:val="both"/>
      </w:pPr>
      <w:r>
        <w:rPr>
          <w:b/>
          <w:bCs/>
        </w:rPr>
        <w:t>matière de nationalité dans toutes les situations;</w:t>
      </w:r>
    </w:p>
    <w:p>
      <w:pPr>
        <w:pStyle w:val="style0"/>
        <w:jc w:val="both"/>
      </w:pPr>
      <w:r>
        <w:rPr>
          <w:b/>
          <w:bCs/>
        </w:rPr>
      </w:r>
    </w:p>
    <w:p>
      <w:pPr>
        <w:pStyle w:val="style0"/>
        <w:jc w:val="both"/>
      </w:pPr>
      <w:r>
        <w:rPr>
          <w:b/>
          <w:bCs/>
        </w:rPr>
        <w:t>4 / Dans un mieux souci de sauvegarder l'unité de la famille, prendre des mesures</w:t>
      </w:r>
    </w:p>
    <w:p>
      <w:pPr>
        <w:pStyle w:val="style0"/>
        <w:jc w:val="both"/>
      </w:pPr>
      <w:r>
        <w:rPr>
          <w:b/>
          <w:bCs/>
        </w:rPr>
        <w:t>pour accélérer le processus de demande de résidence permanente.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t>Je vous remercie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spacing w:after="0" w:before="0"/>
        <w:contextualSpacing w:val="false"/>
      </w:pPr>
      <w:r>
        <w:rPr>
          <w:rFonts w:ascii="" w:cs="" w:hAnsi=""/>
          <w:i/>
          <w:iCs/>
        </w:rPr>
        <w:t xml:space="preserve">TRADUCTION ANGLAISE NON OFFICIELLE  </w:t>
      </w:r>
    </w:p>
    <w:p>
      <w:pPr>
        <w:pStyle w:val="style0"/>
        <w:spacing w:after="0" w:before="0"/>
        <w:contextualSpacing w:val="false"/>
      </w:pPr>
      <w:r>
        <w:rPr>
          <w:rFonts w:ascii="" w:cs="" w:hAnsi=""/>
          <w:i/>
          <w:iCs/>
        </w:rPr>
        <w:t xml:space="preserve">UNOFFICIAL ENGLISH TRANSLATION </w:t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  <w:drawing>
          <wp:anchor allowOverlap="1" behindDoc="1" distB="0" distL="0" distR="0" distT="0" layoutInCell="1" locked="0" relativeHeight="1" simplePos="0">
            <wp:simplePos x="0" y="0"/>
            <wp:positionH relativeFrom="character">
              <wp:posOffset>2397125</wp:posOffset>
            </wp:positionH>
            <wp:positionV relativeFrom="line">
              <wp:posOffset>36830</wp:posOffset>
            </wp:positionV>
            <wp:extent cx="1326515" cy="107886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center"/>
      </w:pPr>
      <w:r>
        <w:rPr/>
      </w:r>
    </w:p>
    <w:p>
      <w:pPr>
        <w:pStyle w:val="style0"/>
        <w:spacing w:after="0" w:before="0"/>
        <w:contextualSpacing w:val="false"/>
        <w:jc w:val="both"/>
      </w:pPr>
      <w:bookmarkStart w:id="0" w:name="result_box"/>
      <w:bookmarkEnd w:id="0"/>
      <w:r>
        <w:rPr>
          <w:b/>
          <w:bCs/>
          <w:lang w:val="en-"/>
        </w:rPr>
        <w:t>Declaration of Haiti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t>31st session of the Working Group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t>November 5-16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br/>
        <w:t>Universal Periodic Review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t>MALAYSIA</w:t>
        <w:br/>
        <w:t>November 8, 2018</w:t>
      </w:r>
    </w:p>
    <w:p>
      <w:pPr>
        <w:pStyle w:val="style0"/>
        <w:spacing w:after="0" w:before="0"/>
        <w:contextualSpacing w:val="false"/>
        <w:jc w:val="both"/>
      </w:pPr>
      <w:r>
        <w:rPr>
          <w:lang w:val="en-"/>
        </w:rPr>
        <w:br/>
        <w:t>Thank you Mr President,</w:t>
      </w:r>
    </w:p>
    <w:p>
      <w:pPr>
        <w:pStyle w:val="style0"/>
        <w:spacing w:after="0" w:before="0"/>
        <w:contextualSpacing w:val="false"/>
        <w:jc w:val="both"/>
      </w:pPr>
      <w:r>
        <w:rPr>
          <w:lang w:val="en-"/>
        </w:rPr>
        <w:br/>
        <w:t>The Haitian delegation welcomes the representatives of the Government of Malaysia, and we</w:t>
        <w:br/>
      </w:r>
      <w:r>
        <w:rPr>
          <w:lang w:val="en-"/>
        </w:rPr>
        <w:t>t</w:t>
      </w:r>
      <w:r>
        <w:rPr>
          <w:lang w:val="en-"/>
        </w:rPr>
        <w:t xml:space="preserve">hank </w:t>
      </w:r>
      <w:r>
        <w:rPr>
          <w:lang w:val="en-"/>
        </w:rPr>
        <w:t>them</w:t>
      </w:r>
      <w:r>
        <w:rPr>
          <w:lang w:val="en-"/>
        </w:rPr>
        <w:t xml:space="preserve"> for providing a national report that responds directly to the recommendations</w:t>
        <w:br/>
        <w:t>accepted during the second cycle review.</w:t>
      </w:r>
    </w:p>
    <w:p>
      <w:pPr>
        <w:pStyle w:val="style0"/>
        <w:spacing w:after="0" w:before="0"/>
        <w:contextualSpacing w:val="false"/>
        <w:jc w:val="both"/>
      </w:pPr>
      <w:r>
        <w:rPr>
          <w:lang w:val="en-"/>
        </w:rPr>
        <w:br/>
        <w:t> </w:t>
        <w:br/>
      </w:r>
      <w:r>
        <w:rPr>
          <w:b/>
          <w:bCs/>
          <w:lang w:val="en-"/>
        </w:rPr>
        <w:t>Haiti w</w:t>
      </w:r>
      <w:r>
        <w:rPr>
          <w:b/>
          <w:bCs/>
          <w:lang w:val="en-"/>
        </w:rPr>
        <w:t>ishes</w:t>
      </w:r>
      <w:r>
        <w:rPr>
          <w:b/>
          <w:bCs/>
          <w:lang w:val="en-"/>
        </w:rPr>
        <w:t xml:space="preserve"> to make four recommendations: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br/>
        <w:t> 1 / For the follow-up of recommendations number 146.87 and 146.152 of the second</w:t>
        <w:br/>
        <w:t>cycle, amend the National Registration Act to remove any reference to</w:t>
        <w:br/>
        <w:t>religion on identity cards;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br/>
        <w:t>2 / For the follow-up of recommendations number 146.87 and 146.152 of the second</w:t>
        <w:br/>
        <w:t>cycle, take the necessary measures to ensure that all persons can exercise</w:t>
        <w:br/>
        <w:t>freely to their right to freedom of religion and belief, and in particular</w:t>
        <w:br/>
        <w:t>the right to change religion without fear of judicial sanction;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br/>
        <w:t>3 / Take steps to harmonize laws and policies on</w:t>
        <w:br/>
        <w:t>nationality to guarantee equal nationality rights for men and women in Malaysia</w:t>
        <w:br/>
        <w:t>in all situations;</w:t>
      </w:r>
    </w:p>
    <w:p>
      <w:pPr>
        <w:pStyle w:val="style0"/>
        <w:spacing w:after="0" w:before="0"/>
        <w:contextualSpacing w:val="false"/>
        <w:jc w:val="both"/>
      </w:pPr>
      <w:r>
        <w:rPr>
          <w:b/>
          <w:bCs/>
          <w:lang w:val="en-"/>
        </w:rPr>
        <w:br/>
        <w:t>4 / In order to safeguard the unity of the family, take measures</w:t>
        <w:br/>
        <w:t>to speed up the process of applying for permanent residence.</w:t>
      </w:r>
    </w:p>
    <w:p>
      <w:pPr>
        <w:pStyle w:val="style0"/>
        <w:spacing w:after="0" w:before="0"/>
        <w:contextualSpacing w:val="false"/>
        <w:jc w:val="both"/>
      </w:pPr>
      <w:r>
        <w:rPr>
          <w:lang w:val="en-"/>
        </w:rPr>
        <w:br/>
        <w:br/>
      </w:r>
      <w:r>
        <w:rPr>
          <w:lang w:val="en-"/>
        </w:rPr>
        <w:t>I t</w:t>
      </w:r>
      <w:r>
        <w:rPr>
          <w:lang w:val="en-"/>
        </w:rPr>
        <w:t>hank you</w:t>
      </w:r>
      <w:r>
        <w:rPr/>
        <w:t xml:space="preserve"> 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</w:settings>
</file>

<file path=word/styles.xml><?xml version="1.0" encoding="utf-8"?>
<w:styles xmlns:w="http://schemas.openxmlformats.org/wordprocessingml/2006/main">
  <w:style w:styleId="style0" w:type="paragraph">
    <w:name w:val="Style par défaut"/>
    <w:next w:val="style0"/>
    <w:pPr>
      <w:widowControl w:val="false"/>
      <w:suppressAutoHyphens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fr-CH"/>
    </w:rPr>
  </w:style>
  <w:style w:styleId="style15" w:type="paragraph">
    <w:name w:val="Titre"/>
    <w:basedOn w:val="style0"/>
    <w:next w:val="style16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6" w:type="paragraph">
    <w:name w:val="Corps de texte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e"/>
    <w:basedOn w:val="style16"/>
    <w:next w:val="style17"/>
    <w:pPr/>
    <w:rPr>
      <w:rFonts w:cs="Mangal"/>
    </w:rPr>
  </w:style>
  <w:style w:styleId="style18" w:type="paragraph">
    <w:name w:val="Légende"/>
    <w:basedOn w:val="style0"/>
    <w:next w:val="style18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Mang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wmf"/><Relationship Id="rId7" Type="http://schemas.openxmlformats.org/officeDocument/2006/relationships/customXml" Target="../customXml/item2.xml"/><Relationship Id="rId2" Type="http://schemas.openxmlformats.org/officeDocument/2006/relationships/image" Target="media/image1.wmf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settings" Target="settings.xml"/><Relationship Id="rId4" Type="http://schemas.openxmlformats.org/officeDocument/2006/relationships/fontTable" Target="fontTable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2EF59C-CD05-4D1B-9BE4-087F99B078E5}"/>
</file>

<file path=customXml/itemProps2.xml><?xml version="1.0" encoding="utf-8"?>
<ds:datastoreItem xmlns:ds="http://schemas.openxmlformats.org/officeDocument/2006/customXml" ds:itemID="{FBEA37FA-22F5-4708-921A-9504353D55F7}"/>
</file>

<file path=customXml/itemProps3.xml><?xml version="1.0" encoding="utf-8"?>
<ds:datastoreItem xmlns:ds="http://schemas.openxmlformats.org/officeDocument/2006/customXml" ds:itemID="{02DC3FB8-B10F-4469-9AEC-152407CBC634}"/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2018-11-09T14:05:44Z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