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1"/>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616"/>
        <w:gridCol w:w="4196"/>
      </w:tblGrid>
      <w:tr w:rsidR="009A726D" w:rsidRPr="001920FD" w:rsidTr="00A36351">
        <w:tc>
          <w:tcPr>
            <w:tcW w:w="4503" w:type="dxa"/>
          </w:tcPr>
          <w:p w:rsidR="009A726D" w:rsidRPr="007301CD" w:rsidRDefault="009A726D" w:rsidP="00A36351">
            <w:pPr>
              <w:tabs>
                <w:tab w:val="center" w:pos="4536"/>
                <w:tab w:val="right" w:pos="9072"/>
              </w:tabs>
              <w:rPr>
                <w:rFonts w:ascii="Times New Roman" w:eastAsia="WenQuanYi Micro Hei" w:hAnsi="Times New Roman" w:cs="Times New Roman"/>
                <w:color w:val="00000A"/>
                <w:lang w:val="en-US" w:eastAsia="zh-CN" w:bidi="hi-IN"/>
              </w:rPr>
            </w:pPr>
            <w:r w:rsidRPr="007301CD">
              <w:rPr>
                <w:rFonts w:ascii="Times New Roman" w:eastAsia="WenQuanYi Micro Hei" w:hAnsi="Times New Roman" w:cs="Times New Roman"/>
                <w:color w:val="00000A"/>
                <w:lang w:val="en-US" w:eastAsia="zh-CN" w:bidi="hi-IN"/>
              </w:rPr>
              <w:t xml:space="preserve">A M B A S </w:t>
            </w:r>
            <w:proofErr w:type="spellStart"/>
            <w:r w:rsidRPr="007301CD">
              <w:rPr>
                <w:rFonts w:ascii="Times New Roman" w:eastAsia="WenQuanYi Micro Hei" w:hAnsi="Times New Roman" w:cs="Times New Roman"/>
                <w:color w:val="00000A"/>
                <w:lang w:val="en-US" w:eastAsia="zh-CN" w:bidi="hi-IN"/>
              </w:rPr>
              <w:t>S</w:t>
            </w:r>
            <w:proofErr w:type="spellEnd"/>
            <w:r w:rsidRPr="007301CD">
              <w:rPr>
                <w:rFonts w:ascii="Times New Roman" w:eastAsia="WenQuanYi Micro Hei" w:hAnsi="Times New Roman" w:cs="Times New Roman"/>
                <w:color w:val="00000A"/>
                <w:lang w:val="en-US" w:eastAsia="zh-CN" w:bidi="hi-IN"/>
              </w:rPr>
              <w:t xml:space="preserve"> A D E   DU TOGO</w:t>
            </w:r>
          </w:p>
          <w:p w:rsidR="009A726D" w:rsidRPr="001920FD" w:rsidRDefault="009A726D" w:rsidP="00A36351">
            <w:pPr>
              <w:widowControl w:val="0"/>
              <w:spacing w:line="276" w:lineRule="auto"/>
              <w:jc w:val="both"/>
              <w:rPr>
                <w:rFonts w:ascii="Times New Roman" w:eastAsia="WenQuanYi Micro Hei" w:hAnsi="Times New Roman" w:cs="Lohit Hindi"/>
                <w:i/>
                <w:color w:val="00000A"/>
                <w:sz w:val="18"/>
                <w:szCs w:val="18"/>
                <w:lang w:eastAsia="zh-CN" w:bidi="hi-IN"/>
              </w:rPr>
            </w:pPr>
            <w:r w:rsidRPr="001920FD">
              <w:rPr>
                <w:rFonts w:ascii="Times New Roman" w:eastAsia="WenQuanYi Micro Hei" w:hAnsi="Times New Roman" w:cs="Times New Roman"/>
                <w:i/>
                <w:color w:val="00000A"/>
                <w:sz w:val="18"/>
                <w:szCs w:val="18"/>
                <w:lang w:eastAsia="zh-CN" w:bidi="hi-IN"/>
              </w:rPr>
              <w:t>Mission Permanente auprès de l'Office des Nations Unies, de l'Organisation Mondiale du Commerce et des autres Organisations Internationales à Genève</w:t>
            </w:r>
          </w:p>
        </w:tc>
        <w:tc>
          <w:tcPr>
            <w:tcW w:w="1616" w:type="dxa"/>
          </w:tcPr>
          <w:p w:rsidR="009A726D" w:rsidRPr="001920FD" w:rsidRDefault="009A726D" w:rsidP="00A36351">
            <w:pPr>
              <w:tabs>
                <w:tab w:val="center" w:pos="4536"/>
                <w:tab w:val="right" w:pos="9072"/>
              </w:tabs>
              <w:jc w:val="center"/>
              <w:rPr>
                <w:rFonts w:ascii="Calibri" w:eastAsia="Droid Sans Fallback" w:hAnsi="Calibri" w:cs="Calibri"/>
                <w:color w:val="00000A"/>
              </w:rPr>
            </w:pPr>
            <w:r w:rsidRPr="001920FD">
              <w:rPr>
                <w:rFonts w:cs="Calibri"/>
                <w:noProof/>
                <w:color w:val="00000A"/>
                <w:sz w:val="20"/>
                <w:szCs w:val="20"/>
                <w:lang w:val="en-US"/>
              </w:rPr>
              <w:drawing>
                <wp:inline distT="0" distB="0" distL="0" distR="0" wp14:anchorId="75A39FA8" wp14:editId="2130EAB1">
                  <wp:extent cx="685165" cy="1009650"/>
                  <wp:effectExtent l="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030" cy="1013872"/>
                          </a:xfrm>
                          <a:prstGeom prst="rect">
                            <a:avLst/>
                          </a:prstGeom>
                          <a:noFill/>
                          <a:ln>
                            <a:noFill/>
                          </a:ln>
                        </pic:spPr>
                      </pic:pic>
                    </a:graphicData>
                  </a:graphic>
                </wp:inline>
              </w:drawing>
            </w:r>
          </w:p>
        </w:tc>
        <w:tc>
          <w:tcPr>
            <w:tcW w:w="4196" w:type="dxa"/>
          </w:tcPr>
          <w:p w:rsidR="009A726D" w:rsidRPr="001920FD" w:rsidRDefault="009A726D" w:rsidP="00A36351">
            <w:pPr>
              <w:tabs>
                <w:tab w:val="center" w:pos="4536"/>
                <w:tab w:val="right" w:pos="9072"/>
              </w:tabs>
              <w:rPr>
                <w:rFonts w:ascii="Times New Roman" w:eastAsia="WenQuanYi Micro Hei" w:hAnsi="Times New Roman" w:cs="Times New Roman"/>
                <w:color w:val="00000A"/>
                <w:lang w:eastAsia="zh-CN" w:bidi="hi-IN"/>
              </w:rPr>
            </w:pPr>
            <w:r w:rsidRPr="001920FD">
              <w:rPr>
                <w:rFonts w:ascii="Arial" w:eastAsia="WenQuanYi Micro Hei" w:hAnsi="Arial" w:cs="Lohit Hindi"/>
                <w:color w:val="00000A"/>
                <w:lang w:eastAsia="zh-CN" w:bidi="hi-IN"/>
              </w:rPr>
              <w:t xml:space="preserve">     </w:t>
            </w:r>
            <w:r w:rsidRPr="001920FD">
              <w:rPr>
                <w:rFonts w:ascii="Times New Roman" w:eastAsia="WenQuanYi Micro Hei" w:hAnsi="Times New Roman" w:cs="Times New Roman"/>
                <w:color w:val="00000A"/>
                <w:lang w:eastAsia="zh-CN" w:bidi="hi-IN"/>
              </w:rPr>
              <w:t>REPUBLIQUE TOGOLAISE</w:t>
            </w:r>
          </w:p>
          <w:p w:rsidR="009A726D" w:rsidRPr="001920FD" w:rsidRDefault="009A726D" w:rsidP="00A36351">
            <w:pPr>
              <w:tabs>
                <w:tab w:val="center" w:pos="4536"/>
                <w:tab w:val="right" w:pos="9072"/>
              </w:tabs>
              <w:rPr>
                <w:rFonts w:ascii="Calibri" w:eastAsia="Droid Sans Fallback" w:hAnsi="Calibri" w:cs="Calibri"/>
                <w:i/>
                <w:color w:val="00000A"/>
              </w:rPr>
            </w:pPr>
            <w:r w:rsidRPr="001920FD">
              <w:rPr>
                <w:rFonts w:ascii="Times New Roman" w:eastAsia="WenQuanYi Micro Hei" w:hAnsi="Times New Roman" w:cs="Times New Roman"/>
                <w:color w:val="00000A"/>
                <w:lang w:eastAsia="zh-CN" w:bidi="hi-IN"/>
              </w:rPr>
              <w:t xml:space="preserve">           </w:t>
            </w:r>
            <w:r w:rsidRPr="001920FD">
              <w:rPr>
                <w:rFonts w:ascii="Times New Roman" w:eastAsia="WenQuanYi Micro Hei" w:hAnsi="Times New Roman" w:cs="Times New Roman"/>
                <w:i/>
                <w:color w:val="00000A"/>
                <w:lang w:eastAsia="zh-CN" w:bidi="hi-IN"/>
              </w:rPr>
              <w:t>Travail- Liberté-Patrie</w:t>
            </w:r>
          </w:p>
        </w:tc>
      </w:tr>
    </w:tbl>
    <w:p w:rsidR="009A726D" w:rsidRPr="001920FD" w:rsidRDefault="009A726D" w:rsidP="009A726D">
      <w:pPr>
        <w:spacing w:after="0" w:line="240" w:lineRule="auto"/>
        <w:jc w:val="both"/>
        <w:rPr>
          <w:rFonts w:ascii="Times New Roman" w:hAnsi="Times New Roman" w:cs="Times New Roman"/>
          <w:b/>
          <w:sz w:val="27"/>
          <w:szCs w:val="27"/>
          <w:lang w:eastAsia="zh-CN" w:bidi="hi-IN"/>
        </w:rPr>
      </w:pPr>
    </w:p>
    <w:p w:rsidR="009A726D" w:rsidRPr="00D078BC" w:rsidRDefault="009A726D" w:rsidP="009A726D">
      <w:pPr>
        <w:autoSpaceDE w:val="0"/>
        <w:spacing w:after="0" w:line="240" w:lineRule="auto"/>
        <w:jc w:val="center"/>
        <w:rPr>
          <w:rFonts w:ascii="Times New Roman" w:eastAsia="Calibri" w:hAnsi="Times New Roman" w:cs="Times New Roman"/>
          <w:sz w:val="18"/>
          <w:lang w:eastAsia="zh-CN"/>
        </w:rPr>
      </w:pPr>
      <w:r w:rsidRPr="00D078BC">
        <w:rPr>
          <w:rFonts w:ascii="Times New Roman" w:eastAsia="Calibri" w:hAnsi="Times New Roman" w:cs="Times New Roman"/>
          <w:b/>
          <w:bCs/>
          <w:sz w:val="28"/>
          <w:szCs w:val="36"/>
          <w:lang w:eastAsia="zh-CN"/>
        </w:rPr>
        <w:t>30</w:t>
      </w:r>
      <w:r w:rsidRPr="00D078BC">
        <w:rPr>
          <w:rFonts w:ascii="Times New Roman" w:eastAsia="Calibri" w:hAnsi="Times New Roman" w:cs="Times New Roman"/>
          <w:b/>
          <w:bCs/>
          <w:sz w:val="28"/>
          <w:szCs w:val="36"/>
          <w:vertAlign w:val="superscript"/>
          <w:lang w:eastAsia="zh-CN"/>
        </w:rPr>
        <w:t>ème</w:t>
      </w:r>
      <w:r w:rsidRPr="00D078BC">
        <w:rPr>
          <w:rFonts w:ascii="Times New Roman" w:eastAsia="Calibri" w:hAnsi="Times New Roman" w:cs="Times New Roman"/>
          <w:b/>
          <w:bCs/>
          <w:sz w:val="28"/>
          <w:szCs w:val="36"/>
          <w:lang w:eastAsia="zh-CN"/>
        </w:rPr>
        <w:t xml:space="preserve"> session du Groupe de travail</w:t>
      </w:r>
      <w:r w:rsidRPr="00D078BC">
        <w:rPr>
          <w:rFonts w:ascii="Times New Roman" w:hAnsi="Times New Roman" w:cs="Times New Roman"/>
          <w:sz w:val="18"/>
        </w:rPr>
        <w:t xml:space="preserve"> </w:t>
      </w:r>
      <w:r w:rsidRPr="00D078BC">
        <w:rPr>
          <w:rFonts w:ascii="Times New Roman" w:eastAsia="Calibri" w:hAnsi="Times New Roman" w:cs="Times New Roman"/>
          <w:b/>
          <w:bCs/>
          <w:sz w:val="28"/>
          <w:szCs w:val="36"/>
          <w:lang w:eastAsia="zh-CN"/>
        </w:rPr>
        <w:t>sur l’Examen périodique universel</w:t>
      </w:r>
    </w:p>
    <w:p w:rsidR="009A726D" w:rsidRPr="00D078BC" w:rsidRDefault="009A726D" w:rsidP="009A726D">
      <w:pPr>
        <w:autoSpaceDE w:val="0"/>
        <w:adjustRightInd w:val="0"/>
        <w:spacing w:after="0" w:line="240" w:lineRule="auto"/>
        <w:jc w:val="center"/>
        <w:rPr>
          <w:rFonts w:ascii="Times New Roman" w:hAnsi="Times New Roman" w:cs="Times New Roman"/>
          <w:b/>
          <w:bCs/>
          <w:sz w:val="24"/>
          <w:szCs w:val="32"/>
        </w:rPr>
      </w:pPr>
    </w:p>
    <w:p w:rsidR="009A726D" w:rsidRPr="00D078BC" w:rsidRDefault="009A726D" w:rsidP="009A726D">
      <w:pPr>
        <w:autoSpaceDE w:val="0"/>
        <w:adjustRightInd w:val="0"/>
        <w:spacing w:after="0" w:line="240" w:lineRule="auto"/>
        <w:jc w:val="center"/>
        <w:rPr>
          <w:rFonts w:ascii="Times New Roman" w:hAnsi="Times New Roman" w:cs="Times New Roman"/>
          <w:b/>
          <w:sz w:val="20"/>
        </w:rPr>
      </w:pPr>
      <w:r w:rsidRPr="00D078BC">
        <w:rPr>
          <w:rFonts w:ascii="Times New Roman" w:hAnsi="Times New Roman" w:cs="Times New Roman"/>
          <w:b/>
          <w:szCs w:val="28"/>
        </w:rPr>
        <w:t xml:space="preserve">Examen de la situation des droits de l’homme au </w:t>
      </w:r>
      <w:r>
        <w:rPr>
          <w:rFonts w:ascii="Times New Roman" w:hAnsi="Times New Roman" w:cs="Times New Roman"/>
          <w:b/>
          <w:szCs w:val="28"/>
        </w:rPr>
        <w:t>Burkina Faso</w:t>
      </w:r>
      <w:r w:rsidRPr="00D078BC">
        <w:rPr>
          <w:rFonts w:ascii="Times New Roman" w:hAnsi="Times New Roman" w:cs="Times New Roman"/>
          <w:b/>
          <w:szCs w:val="28"/>
        </w:rPr>
        <w:t xml:space="preserve"> </w:t>
      </w:r>
    </w:p>
    <w:p w:rsidR="009A726D" w:rsidRPr="00D078BC" w:rsidRDefault="009A726D" w:rsidP="009A726D">
      <w:pPr>
        <w:autoSpaceDE w:val="0"/>
        <w:adjustRightInd w:val="0"/>
        <w:spacing w:after="0" w:line="240" w:lineRule="auto"/>
        <w:jc w:val="center"/>
        <w:rPr>
          <w:rFonts w:ascii="Times New Roman" w:hAnsi="Times New Roman" w:cs="Times New Roman"/>
          <w:sz w:val="20"/>
        </w:rPr>
      </w:pPr>
    </w:p>
    <w:p w:rsidR="009A726D" w:rsidRPr="00D078BC" w:rsidRDefault="009A726D" w:rsidP="009A726D">
      <w:pPr>
        <w:autoSpaceDE w:val="0"/>
        <w:adjustRightInd w:val="0"/>
        <w:spacing w:after="0" w:line="240" w:lineRule="auto"/>
        <w:rPr>
          <w:rFonts w:ascii="Times New Roman" w:hAnsi="Times New Roman" w:cs="Times New Roman"/>
          <w:sz w:val="20"/>
        </w:rPr>
      </w:pPr>
    </w:p>
    <w:p w:rsidR="009A726D" w:rsidRPr="00D078BC" w:rsidRDefault="009A726D" w:rsidP="009A726D">
      <w:pPr>
        <w:jc w:val="right"/>
        <w:rPr>
          <w:rFonts w:ascii="Times New Roman" w:hAnsi="Times New Roman" w:cs="Times New Roman"/>
          <w:b/>
          <w:bCs/>
          <w:color w:val="595656"/>
          <w:szCs w:val="28"/>
          <w:bdr w:val="none" w:sz="0" w:space="0" w:color="auto" w:frame="1"/>
          <w:shd w:val="clear" w:color="auto" w:fill="FFFFFF"/>
        </w:rPr>
      </w:pPr>
      <w:r w:rsidRPr="00D078BC">
        <w:rPr>
          <w:rFonts w:ascii="Times New Roman" w:hAnsi="Times New Roman" w:cs="Times New Roman"/>
          <w:b/>
          <w:bCs/>
          <w:sz w:val="24"/>
          <w:szCs w:val="32"/>
        </w:rPr>
        <w:t>Genève, 07 mai 2018</w:t>
      </w:r>
    </w:p>
    <w:p w:rsidR="009A726D" w:rsidRPr="00F5729F" w:rsidRDefault="009A726D" w:rsidP="00F5729F">
      <w:pPr>
        <w:spacing w:line="240" w:lineRule="auto"/>
        <w:jc w:val="both"/>
        <w:rPr>
          <w:rFonts w:ascii="Times New Roman" w:hAnsi="Times New Roman" w:cs="Times New Roman"/>
          <w:b/>
          <w:sz w:val="26"/>
          <w:szCs w:val="26"/>
        </w:rPr>
      </w:pPr>
      <w:r w:rsidRPr="00F5729F">
        <w:rPr>
          <w:rFonts w:ascii="Times New Roman" w:hAnsi="Times New Roman" w:cs="Times New Roman"/>
          <w:b/>
          <w:sz w:val="26"/>
          <w:szCs w:val="26"/>
        </w:rPr>
        <w:t>Monsieur le Président,</w:t>
      </w:r>
    </w:p>
    <w:p w:rsidR="00BD585A" w:rsidRPr="00F5729F" w:rsidRDefault="00BD585A" w:rsidP="00F5729F">
      <w:pPr>
        <w:spacing w:line="240" w:lineRule="auto"/>
        <w:jc w:val="both"/>
        <w:rPr>
          <w:rFonts w:ascii="Times New Roman" w:hAnsi="Times New Roman" w:cs="Times New Roman"/>
          <w:sz w:val="26"/>
          <w:szCs w:val="26"/>
        </w:rPr>
      </w:pPr>
      <w:r w:rsidRPr="00F5729F">
        <w:rPr>
          <w:rFonts w:ascii="Times New Roman" w:hAnsi="Times New Roman" w:cs="Times New Roman"/>
          <w:sz w:val="26"/>
          <w:szCs w:val="26"/>
        </w:rPr>
        <w:t>La délégation togolaise souhaite la chaleureuse bienvenue à la délégation du Burkina</w:t>
      </w:r>
      <w:r w:rsidR="004802BA" w:rsidRPr="00F5729F">
        <w:rPr>
          <w:rFonts w:ascii="Times New Roman" w:hAnsi="Times New Roman" w:cs="Times New Roman"/>
          <w:sz w:val="26"/>
          <w:szCs w:val="26"/>
        </w:rPr>
        <w:t xml:space="preserve"> </w:t>
      </w:r>
      <w:r w:rsidRPr="00F5729F">
        <w:rPr>
          <w:rFonts w:ascii="Times New Roman" w:hAnsi="Times New Roman" w:cs="Times New Roman"/>
          <w:sz w:val="26"/>
          <w:szCs w:val="26"/>
        </w:rPr>
        <w:t xml:space="preserve">Faso </w:t>
      </w:r>
      <w:bookmarkStart w:id="0" w:name="_GoBack"/>
      <w:bookmarkEnd w:id="0"/>
      <w:r w:rsidRPr="00F5729F">
        <w:rPr>
          <w:rFonts w:ascii="Times New Roman" w:hAnsi="Times New Roman" w:cs="Times New Roman"/>
          <w:sz w:val="26"/>
          <w:szCs w:val="26"/>
        </w:rPr>
        <w:t>et la remercie pour la présentation détaillée de la situation des droits de l’homme dans le pays.</w:t>
      </w:r>
    </w:p>
    <w:p w:rsidR="00D27F0A" w:rsidRPr="00F5729F" w:rsidRDefault="004802BA" w:rsidP="00F5729F">
      <w:pPr>
        <w:spacing w:line="240" w:lineRule="auto"/>
        <w:jc w:val="both"/>
        <w:rPr>
          <w:rFonts w:ascii="Times New Roman" w:hAnsi="Times New Roman" w:cs="Times New Roman"/>
          <w:sz w:val="26"/>
          <w:szCs w:val="26"/>
        </w:rPr>
      </w:pPr>
      <w:r w:rsidRPr="00F5729F">
        <w:rPr>
          <w:rFonts w:ascii="Times New Roman" w:hAnsi="Times New Roman" w:cs="Times New Roman"/>
          <w:sz w:val="26"/>
          <w:szCs w:val="26"/>
        </w:rPr>
        <w:t>Le Togo félicite le Burkina Faso pour ses avancées remarquables en matière de droits de l’homme</w:t>
      </w:r>
      <w:r w:rsidR="00911431" w:rsidRPr="00F5729F">
        <w:rPr>
          <w:rFonts w:ascii="Times New Roman" w:hAnsi="Times New Roman" w:cs="Times New Roman"/>
          <w:sz w:val="26"/>
          <w:szCs w:val="26"/>
        </w:rPr>
        <w:t xml:space="preserve">, en dépit d’un contexte sécuritaire difficile marqué </w:t>
      </w:r>
      <w:r w:rsidR="0017483A" w:rsidRPr="00F5729F">
        <w:rPr>
          <w:rFonts w:ascii="Times New Roman" w:hAnsi="Times New Roman" w:cs="Times New Roman"/>
          <w:sz w:val="26"/>
          <w:szCs w:val="26"/>
        </w:rPr>
        <w:t xml:space="preserve">par </w:t>
      </w:r>
      <w:r w:rsidR="00911431" w:rsidRPr="00F5729F">
        <w:rPr>
          <w:rFonts w:ascii="Times New Roman" w:hAnsi="Times New Roman" w:cs="Times New Roman"/>
          <w:sz w:val="26"/>
          <w:szCs w:val="26"/>
        </w:rPr>
        <w:t>les menaces de groupes terroristes</w:t>
      </w:r>
      <w:r w:rsidR="0017483A" w:rsidRPr="00F5729F">
        <w:rPr>
          <w:rFonts w:ascii="Times New Roman" w:hAnsi="Times New Roman" w:cs="Times New Roman"/>
          <w:sz w:val="26"/>
          <w:szCs w:val="26"/>
        </w:rPr>
        <w:t xml:space="preserve"> contre lesquelles le pays fait face de façon courageuse</w:t>
      </w:r>
      <w:r w:rsidR="00911431" w:rsidRPr="00F5729F">
        <w:rPr>
          <w:rFonts w:ascii="Times New Roman" w:hAnsi="Times New Roman" w:cs="Times New Roman"/>
          <w:sz w:val="26"/>
          <w:szCs w:val="26"/>
        </w:rPr>
        <w:t>.</w:t>
      </w:r>
      <w:r w:rsidRPr="00F5729F">
        <w:rPr>
          <w:rFonts w:ascii="Times New Roman" w:hAnsi="Times New Roman" w:cs="Times New Roman"/>
          <w:sz w:val="26"/>
          <w:szCs w:val="26"/>
        </w:rPr>
        <w:t xml:space="preserve"> Ce succès est dû notamment au fait que de nombreuses recommandations acceptées par le Burkina Faso lors de son passage au deuxième cycle de l’EPU ont été pleinement ou partiellement mis en œuvre</w:t>
      </w:r>
      <w:r w:rsidR="00046FA0" w:rsidRPr="00F5729F">
        <w:rPr>
          <w:rFonts w:ascii="Times New Roman" w:hAnsi="Times New Roman" w:cs="Times New Roman"/>
          <w:sz w:val="26"/>
          <w:szCs w:val="26"/>
        </w:rPr>
        <w:t xml:space="preserve"> avec comme résultante un renforcement du cadre général de promotion et de protection des droits de l’homme. </w:t>
      </w:r>
    </w:p>
    <w:p w:rsidR="009A06EB" w:rsidRPr="00F5729F" w:rsidRDefault="007C1232" w:rsidP="00F5729F">
      <w:pPr>
        <w:spacing w:line="240" w:lineRule="auto"/>
        <w:jc w:val="both"/>
        <w:rPr>
          <w:rFonts w:ascii="Times New Roman" w:hAnsi="Times New Roman" w:cs="Times New Roman"/>
          <w:sz w:val="26"/>
          <w:szCs w:val="26"/>
        </w:rPr>
      </w:pPr>
      <w:r w:rsidRPr="00F5729F">
        <w:rPr>
          <w:rFonts w:ascii="Times New Roman" w:hAnsi="Times New Roman" w:cs="Times New Roman"/>
          <w:sz w:val="26"/>
          <w:szCs w:val="26"/>
        </w:rPr>
        <w:t xml:space="preserve">Dans la continuité de son engagement en faveur des droits de l’homme, nous faisons les </w:t>
      </w:r>
      <w:r w:rsidR="008A5614" w:rsidRPr="00F5729F">
        <w:rPr>
          <w:rFonts w:ascii="Times New Roman" w:hAnsi="Times New Roman" w:cs="Times New Roman"/>
          <w:sz w:val="26"/>
          <w:szCs w:val="26"/>
        </w:rPr>
        <w:t>recommand</w:t>
      </w:r>
      <w:r w:rsidR="00347577" w:rsidRPr="00F5729F">
        <w:rPr>
          <w:rFonts w:ascii="Times New Roman" w:hAnsi="Times New Roman" w:cs="Times New Roman"/>
          <w:sz w:val="26"/>
          <w:szCs w:val="26"/>
        </w:rPr>
        <w:t>ations</w:t>
      </w:r>
      <w:r w:rsidR="00B71EF4" w:rsidRPr="00F5729F">
        <w:rPr>
          <w:rFonts w:ascii="Times New Roman" w:hAnsi="Times New Roman" w:cs="Times New Roman"/>
          <w:sz w:val="26"/>
          <w:szCs w:val="26"/>
        </w:rPr>
        <w:t xml:space="preserve"> suivantes</w:t>
      </w:r>
      <w:r w:rsidRPr="00F5729F">
        <w:rPr>
          <w:rFonts w:ascii="Times New Roman" w:hAnsi="Times New Roman" w:cs="Times New Roman"/>
          <w:sz w:val="26"/>
          <w:szCs w:val="26"/>
        </w:rPr>
        <w:t xml:space="preserve"> au Burkina Faso :</w:t>
      </w:r>
      <w:r w:rsidR="009A06EB" w:rsidRPr="00F5729F">
        <w:rPr>
          <w:rFonts w:ascii="Times New Roman" w:hAnsi="Times New Roman" w:cs="Times New Roman"/>
          <w:sz w:val="26"/>
          <w:szCs w:val="26"/>
        </w:rPr>
        <w:t xml:space="preserve"> </w:t>
      </w:r>
    </w:p>
    <w:p w:rsidR="0018371E" w:rsidRPr="00F5729F" w:rsidRDefault="00F2369E" w:rsidP="00F5729F">
      <w:pPr>
        <w:pStyle w:val="Paragraphedeliste"/>
        <w:numPr>
          <w:ilvl w:val="0"/>
          <w:numId w:val="1"/>
        </w:numPr>
        <w:spacing w:line="240" w:lineRule="auto"/>
        <w:jc w:val="both"/>
        <w:rPr>
          <w:rFonts w:ascii="Times New Roman" w:hAnsi="Times New Roman" w:cs="Times New Roman"/>
          <w:sz w:val="26"/>
          <w:szCs w:val="26"/>
        </w:rPr>
      </w:pPr>
      <w:r w:rsidRPr="00F5729F">
        <w:rPr>
          <w:rFonts w:ascii="Times New Roman" w:hAnsi="Times New Roman" w:cs="Times New Roman"/>
          <w:sz w:val="26"/>
          <w:szCs w:val="26"/>
        </w:rPr>
        <w:t>R</w:t>
      </w:r>
      <w:r w:rsidR="00347577" w:rsidRPr="00F5729F">
        <w:rPr>
          <w:rFonts w:ascii="Times New Roman" w:hAnsi="Times New Roman" w:cs="Times New Roman"/>
          <w:color w:val="000000"/>
          <w:sz w:val="26"/>
          <w:szCs w:val="26"/>
          <w:lang w:eastAsia="en-GB"/>
        </w:rPr>
        <w:t>atifi</w:t>
      </w:r>
      <w:r w:rsidRPr="00F5729F">
        <w:rPr>
          <w:rFonts w:ascii="Times New Roman" w:hAnsi="Times New Roman" w:cs="Times New Roman"/>
          <w:color w:val="000000"/>
          <w:sz w:val="26"/>
          <w:szCs w:val="26"/>
          <w:lang w:eastAsia="en-GB"/>
        </w:rPr>
        <w:t>er le</w:t>
      </w:r>
      <w:r w:rsidR="00347577" w:rsidRPr="00F5729F">
        <w:rPr>
          <w:rFonts w:ascii="Times New Roman" w:hAnsi="Times New Roman" w:cs="Times New Roman"/>
          <w:color w:val="000000"/>
          <w:sz w:val="26"/>
          <w:szCs w:val="26"/>
          <w:lang w:eastAsia="en-GB"/>
        </w:rPr>
        <w:t xml:space="preserve"> deuxième Protocole facultatif se rapportant au Pacte international relatif aux droits civils et politiques visant à abolir la peine de mort.</w:t>
      </w:r>
    </w:p>
    <w:p w:rsidR="00975636" w:rsidRPr="00F5729F" w:rsidRDefault="00975636" w:rsidP="00F5729F">
      <w:pPr>
        <w:pStyle w:val="Paragraphedeliste"/>
        <w:spacing w:line="240" w:lineRule="auto"/>
        <w:jc w:val="both"/>
        <w:rPr>
          <w:rFonts w:ascii="Times New Roman" w:hAnsi="Times New Roman" w:cs="Times New Roman"/>
          <w:sz w:val="26"/>
          <w:szCs w:val="26"/>
        </w:rPr>
      </w:pPr>
    </w:p>
    <w:p w:rsidR="00F2369E" w:rsidRPr="00F5729F" w:rsidRDefault="00F2369E" w:rsidP="00F5729F">
      <w:pPr>
        <w:pStyle w:val="Paragraphedeliste"/>
        <w:numPr>
          <w:ilvl w:val="0"/>
          <w:numId w:val="1"/>
        </w:numPr>
        <w:spacing w:line="240" w:lineRule="auto"/>
        <w:jc w:val="both"/>
        <w:rPr>
          <w:rFonts w:ascii="Times New Roman" w:hAnsi="Times New Roman" w:cs="Times New Roman"/>
          <w:sz w:val="26"/>
          <w:szCs w:val="26"/>
        </w:rPr>
      </w:pPr>
      <w:r w:rsidRPr="00F5729F">
        <w:rPr>
          <w:rFonts w:ascii="Times New Roman" w:hAnsi="Times New Roman" w:cs="Times New Roman"/>
          <w:sz w:val="26"/>
          <w:szCs w:val="26"/>
        </w:rPr>
        <w:t>Rendre effective la gratuité dans l'enseignement primaire.</w:t>
      </w:r>
    </w:p>
    <w:p w:rsidR="0017483A" w:rsidRPr="00F5729F" w:rsidRDefault="0017483A" w:rsidP="00F5729F">
      <w:pPr>
        <w:pStyle w:val="Paragraphedeliste"/>
        <w:spacing w:line="240" w:lineRule="auto"/>
        <w:rPr>
          <w:rFonts w:ascii="Times New Roman" w:hAnsi="Times New Roman" w:cs="Times New Roman"/>
          <w:sz w:val="26"/>
          <w:szCs w:val="26"/>
        </w:rPr>
      </w:pPr>
    </w:p>
    <w:p w:rsidR="00C76DD3" w:rsidRPr="00F5729F" w:rsidRDefault="007C1232" w:rsidP="00F5729F">
      <w:pPr>
        <w:pStyle w:val="Paragraphedeliste"/>
        <w:numPr>
          <w:ilvl w:val="0"/>
          <w:numId w:val="1"/>
        </w:numPr>
        <w:spacing w:line="240" w:lineRule="auto"/>
        <w:jc w:val="both"/>
        <w:rPr>
          <w:rFonts w:ascii="Times New Roman" w:hAnsi="Times New Roman" w:cs="Times New Roman"/>
          <w:sz w:val="26"/>
          <w:szCs w:val="26"/>
        </w:rPr>
      </w:pPr>
      <w:r w:rsidRPr="00F5729F">
        <w:rPr>
          <w:rFonts w:ascii="Times New Roman" w:hAnsi="Times New Roman" w:cs="Times New Roman"/>
          <w:sz w:val="26"/>
          <w:szCs w:val="26"/>
        </w:rPr>
        <w:t>A</w:t>
      </w:r>
      <w:r w:rsidR="0017483A" w:rsidRPr="00F5729F">
        <w:rPr>
          <w:rFonts w:ascii="Times New Roman" w:hAnsi="Times New Roman" w:cs="Times New Roman"/>
          <w:sz w:val="26"/>
          <w:szCs w:val="26"/>
        </w:rPr>
        <w:t>dopter un cadre juridique qui empêche les projets agro-industriels et les activités des industries extractives de porter atteinte aux droits de</w:t>
      </w:r>
      <w:r w:rsidR="00C76DD3" w:rsidRPr="00F5729F">
        <w:rPr>
          <w:rFonts w:ascii="Times New Roman" w:hAnsi="Times New Roman" w:cs="Times New Roman"/>
          <w:sz w:val="26"/>
          <w:szCs w:val="26"/>
        </w:rPr>
        <w:t xml:space="preserve"> l’homme ;</w:t>
      </w:r>
    </w:p>
    <w:p w:rsidR="00975636" w:rsidRPr="00F5729F" w:rsidRDefault="00975636" w:rsidP="00F5729F">
      <w:pPr>
        <w:pStyle w:val="Paragraphedeliste"/>
        <w:spacing w:line="240" w:lineRule="auto"/>
        <w:rPr>
          <w:rFonts w:ascii="Times New Roman" w:hAnsi="Times New Roman" w:cs="Times New Roman"/>
          <w:sz w:val="26"/>
          <w:szCs w:val="26"/>
        </w:rPr>
      </w:pPr>
    </w:p>
    <w:p w:rsidR="0017483A" w:rsidRPr="00F5729F" w:rsidRDefault="00C76DD3" w:rsidP="00F5729F">
      <w:pPr>
        <w:pStyle w:val="Paragraphedeliste"/>
        <w:numPr>
          <w:ilvl w:val="0"/>
          <w:numId w:val="1"/>
        </w:numPr>
        <w:spacing w:line="240" w:lineRule="auto"/>
        <w:jc w:val="both"/>
        <w:rPr>
          <w:rFonts w:ascii="Times New Roman" w:hAnsi="Times New Roman" w:cs="Times New Roman"/>
          <w:sz w:val="26"/>
          <w:szCs w:val="26"/>
        </w:rPr>
      </w:pPr>
      <w:r w:rsidRPr="00F5729F">
        <w:rPr>
          <w:rFonts w:ascii="Times New Roman" w:hAnsi="Times New Roman" w:cs="Times New Roman"/>
          <w:sz w:val="26"/>
          <w:szCs w:val="26"/>
        </w:rPr>
        <w:t>V</w:t>
      </w:r>
      <w:r w:rsidR="0017483A" w:rsidRPr="00F5729F">
        <w:rPr>
          <w:rFonts w:ascii="Times New Roman" w:hAnsi="Times New Roman" w:cs="Times New Roman"/>
          <w:sz w:val="26"/>
          <w:szCs w:val="26"/>
        </w:rPr>
        <w:t>eiller à ce que les ex</w:t>
      </w:r>
      <w:r w:rsidR="009A726D" w:rsidRPr="00F5729F">
        <w:rPr>
          <w:rFonts w:ascii="Times New Roman" w:hAnsi="Times New Roman" w:cs="Times New Roman"/>
          <w:sz w:val="26"/>
          <w:szCs w:val="26"/>
        </w:rPr>
        <w:t>pulsions</w:t>
      </w:r>
      <w:r w:rsidR="0017483A" w:rsidRPr="00F5729F">
        <w:rPr>
          <w:rFonts w:ascii="Times New Roman" w:hAnsi="Times New Roman" w:cs="Times New Roman"/>
          <w:sz w:val="26"/>
          <w:szCs w:val="26"/>
        </w:rPr>
        <w:t xml:space="preserve"> soient ordonnées par la justice et entourées de garanties procédurales rigoureuses, conformément aux normes internationales</w:t>
      </w:r>
      <w:r w:rsidR="009A726D" w:rsidRPr="00F5729F">
        <w:rPr>
          <w:rFonts w:ascii="Times New Roman" w:hAnsi="Times New Roman" w:cs="Times New Roman"/>
          <w:sz w:val="26"/>
          <w:szCs w:val="26"/>
        </w:rPr>
        <w:t>.</w:t>
      </w:r>
    </w:p>
    <w:p w:rsidR="00D27F0A" w:rsidRPr="00F5729F" w:rsidRDefault="0018371E" w:rsidP="00F5729F">
      <w:pPr>
        <w:spacing w:line="240" w:lineRule="auto"/>
        <w:rPr>
          <w:sz w:val="26"/>
          <w:szCs w:val="26"/>
        </w:rPr>
      </w:pPr>
      <w:r w:rsidRPr="00F5729F">
        <w:rPr>
          <w:rFonts w:ascii="Times New Roman" w:hAnsi="Times New Roman" w:cs="Times New Roman"/>
          <w:sz w:val="26"/>
          <w:szCs w:val="26"/>
        </w:rPr>
        <w:t>Je vous remercie.</w:t>
      </w:r>
    </w:p>
    <w:sectPr w:rsidR="00D27F0A" w:rsidRPr="00F5729F" w:rsidSect="0051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charset w:val="00"/>
    <w:family w:val="auto"/>
    <w:pitch w:val="variable"/>
  </w:font>
  <w:font w:name="Lohit Hindi">
    <w:charset w:val="00"/>
    <w:family w:val="auto"/>
    <w:pitch w:val="variable"/>
  </w:font>
  <w:font w:name="Droid Sans Fallback">
    <w:altName w:val="Segoe UI"/>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3F31"/>
    <w:multiLevelType w:val="hybridMultilevel"/>
    <w:tmpl w:val="CAE08D10"/>
    <w:lvl w:ilvl="0" w:tplc="0FF0C04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0A"/>
    <w:rsid w:val="00046FA0"/>
    <w:rsid w:val="000C1227"/>
    <w:rsid w:val="001708AB"/>
    <w:rsid w:val="0017483A"/>
    <w:rsid w:val="0018371E"/>
    <w:rsid w:val="00347577"/>
    <w:rsid w:val="003E0349"/>
    <w:rsid w:val="004802BA"/>
    <w:rsid w:val="004D637F"/>
    <w:rsid w:val="005119F0"/>
    <w:rsid w:val="00710707"/>
    <w:rsid w:val="007C1232"/>
    <w:rsid w:val="007E27A2"/>
    <w:rsid w:val="008A5614"/>
    <w:rsid w:val="008E7703"/>
    <w:rsid w:val="00911431"/>
    <w:rsid w:val="00975636"/>
    <w:rsid w:val="009A06EB"/>
    <w:rsid w:val="009A1D0D"/>
    <w:rsid w:val="009A726D"/>
    <w:rsid w:val="00A36351"/>
    <w:rsid w:val="00AA1B44"/>
    <w:rsid w:val="00AB5B47"/>
    <w:rsid w:val="00B44098"/>
    <w:rsid w:val="00B71EF4"/>
    <w:rsid w:val="00BD585A"/>
    <w:rsid w:val="00C76DD3"/>
    <w:rsid w:val="00D27F0A"/>
    <w:rsid w:val="00DE45C8"/>
    <w:rsid w:val="00F2369E"/>
    <w:rsid w:val="00F57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CBCDD-14D8-4D64-B1E8-DEE24456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9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7577"/>
    <w:pPr>
      <w:ind w:left="720"/>
      <w:contextualSpacing/>
    </w:pPr>
  </w:style>
  <w:style w:type="table" w:customStyle="1" w:styleId="Grilledutableau1">
    <w:name w:val="Grille du tableau1"/>
    <w:basedOn w:val="TableauNormal"/>
    <w:next w:val="Grilledutableau"/>
    <w:uiPriority w:val="39"/>
    <w:rsid w:val="009A726D"/>
    <w:pPr>
      <w:spacing w:after="0" w:line="240" w:lineRule="auto"/>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9A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5B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8E1ED-6CD5-4627-97BA-880477AAD754}"/>
</file>

<file path=customXml/itemProps2.xml><?xml version="1.0" encoding="utf-8"?>
<ds:datastoreItem xmlns:ds="http://schemas.openxmlformats.org/officeDocument/2006/customXml" ds:itemID="{426A3923-3DAA-4964-8809-E0DCCCBED297}"/>
</file>

<file path=customXml/itemProps3.xml><?xml version="1.0" encoding="utf-8"?>
<ds:datastoreItem xmlns:ds="http://schemas.openxmlformats.org/officeDocument/2006/customXml" ds:itemID="{B8739401-DD61-451D-B01F-46EDFE5EADB5}"/>
</file>

<file path=docProps/app.xml><?xml version="1.0" encoding="utf-8"?>
<Properties xmlns="http://schemas.openxmlformats.org/officeDocument/2006/extended-properties" xmlns:vt="http://schemas.openxmlformats.org/officeDocument/2006/docPropsVTypes">
  <Template>Normal</Template>
  <TotalTime>936</TotalTime>
  <Pages>1</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dc:creator>
  <cp:keywords/>
  <dc:description/>
  <cp:lastModifiedBy>Mission</cp:lastModifiedBy>
  <cp:revision>4</cp:revision>
  <cp:lastPrinted>2018-05-07T11:14:00Z</cp:lastPrinted>
  <dcterms:created xsi:type="dcterms:W3CDTF">2018-05-02T15:51:00Z</dcterms:created>
  <dcterms:modified xsi:type="dcterms:W3CDTF">2018-05-09T09:10:00Z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