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w="-175" w:type="dxa"/>
        <w:tblBorders>
          <w:top w:val="nil"/>
          <w:left w:val="nil"/>
          <w:bottom w:val="nil"/>
          <w:insideH w:val="nil"/>
          <w:right w:val="nil"/>
          <w:insideV w:val="nil"/>
        </w:tblBorders>
        <w:tblCellMar>
          <w:top w:w="0" w:type="dxa"/>
          <w:left w:w="108" w:type="dxa"/>
          <w:bottom w:w="0" w:type="dxa"/>
          <w:right w:w="108" w:type="dxa"/>
        </w:tblCellMar>
      </w:tblPr>
      <w:tblGrid>
        <w:gridCol w:w="4388"/>
        <w:gridCol w:w="1737"/>
        <w:gridCol w:w="4190"/>
      </w:tblGrid>
      <w:tr>
        <w:trPr>
          <w:cantSplit w:val="false"/>
        </w:trPr>
        <w:tc>
          <w:tcPr>
            <w:tcW w:w="4388" w:type="dxa"/>
            <w:tcBorders>
              <w:top w:val="nil"/>
              <w:left w:val="nil"/>
              <w:bottom w:val="nil"/>
              <w:insideH w:val="nil"/>
              <w:right w:val="nil"/>
              <w:insideV w:val="nil"/>
            </w:tcBorders>
            <w:shd w:fill="auto" w:val="clear"/>
          </w:tcPr>
          <w:p>
            <w:pPr>
              <w:pStyle w:val="Normal1"/>
              <w:tabs>
                <w:tab w:val="center" w:pos="4536" w:leader="none"/>
                <w:tab w:val="right" w:pos="9072" w:leader="none"/>
              </w:tabs>
              <w:spacing w:lineRule="auto" w:line="254"/>
              <w:rPr>
                <w:rFonts w:eastAsia="WenQuanYi Micro Hei" w:cs="Times New Roman" w:ascii="Times New Roman" w:hAnsi="Times New Roman"/>
                <w:color w:val="00000A"/>
                <w:lang w:val="en-US"/>
              </w:rPr>
            </w:pPr>
            <w:r>
              <w:rPr>
                <w:rFonts w:eastAsia="WenQuanYi Micro Hei" w:cs="Times New Roman" w:ascii="Times New Roman" w:hAnsi="Times New Roman"/>
                <w:color w:val="00000A"/>
                <w:lang w:val="en-US"/>
              </w:rPr>
              <w:t>A M B A S S A D E   DU TOGO</w:t>
            </w:r>
          </w:p>
          <w:p>
            <w:pPr>
              <w:pStyle w:val="Normal1"/>
              <w:widowControl w:val="false"/>
              <w:spacing w:lineRule="auto" w:line="276"/>
              <w:jc w:val="both"/>
              <w:textAlignment w:val="baseline"/>
              <w:rPr>
                <w:rFonts w:eastAsia="WenQuanYi Micro Hei" w:cs="Times New Roman" w:ascii="Times New Roman" w:hAnsi="Times New Roman"/>
                <w:i/>
                <w:color w:val="00000A"/>
                <w:sz w:val="18"/>
                <w:szCs w:val="18"/>
                <w:lang w:val="fr-FR"/>
              </w:rPr>
            </w:pPr>
            <w:r>
              <w:rPr>
                <w:rFonts w:eastAsia="WenQuanYi Micro Hei" w:cs="Times New Roman" w:ascii="Times New Roman" w:hAnsi="Times New Roman"/>
                <w:i/>
                <w:color w:val="00000A"/>
                <w:sz w:val="18"/>
                <w:szCs w:val="18"/>
                <w:lang w:val="fr-FR"/>
              </w:rPr>
              <w:t>Mission Permanente auprès de l'Office des Nations Unies, de l'Organisation Mondiale du Commerce et des autres Organisations Internationales à Genève</w:t>
            </w:r>
          </w:p>
        </w:tc>
        <w:tc>
          <w:tcPr>
            <w:tcW w:w="1737" w:type="dxa"/>
            <w:tcBorders>
              <w:top w:val="nil"/>
              <w:left w:val="nil"/>
              <w:bottom w:val="nil"/>
              <w:insideH w:val="nil"/>
              <w:right w:val="nil"/>
              <w:insideV w:val="nil"/>
            </w:tcBorders>
            <w:shd w:fill="auto" w:val="clear"/>
          </w:tcPr>
          <w:p>
            <w:pPr>
              <w:pStyle w:val="Normal1"/>
              <w:tabs>
                <w:tab w:val="center" w:pos="4536" w:leader="none"/>
                <w:tab w:val="right" w:pos="9072" w:leader="none"/>
              </w:tabs>
              <w:spacing w:lineRule="auto" w:line="254"/>
              <w:jc w:val="center"/>
              <w:rPr/>
            </w:pPr>
            <w:r>
              <w:rPr/>
              <w:drawing>
                <wp:inline distT="0" distB="0" distL="0" distR="0">
                  <wp:extent cx="685800" cy="107950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85800" cy="1079500"/>
                          </a:xfrm>
                          <a:prstGeom prst="rect">
                            <a:avLst/>
                          </a:prstGeom>
                          <a:noFill/>
                          <a:ln w="9525">
                            <a:noFill/>
                            <a:miter lim="800000"/>
                            <a:headEnd/>
                            <a:tailEnd/>
                          </a:ln>
                        </pic:spPr>
                      </pic:pic>
                    </a:graphicData>
                  </a:graphic>
                </wp:inline>
              </w:drawing>
            </w:r>
          </w:p>
        </w:tc>
        <w:tc>
          <w:tcPr>
            <w:tcW w:w="4190" w:type="dxa"/>
            <w:tcBorders>
              <w:top w:val="nil"/>
              <w:left w:val="nil"/>
              <w:bottom w:val="nil"/>
              <w:insideH w:val="nil"/>
              <w:right w:val="nil"/>
              <w:insideV w:val="nil"/>
            </w:tcBorders>
            <w:shd w:fill="auto" w:val="clear"/>
          </w:tcPr>
          <w:p>
            <w:pPr>
              <w:pStyle w:val="Normal1"/>
              <w:tabs>
                <w:tab w:val="center" w:pos="4536" w:leader="none"/>
                <w:tab w:val="right" w:pos="9072" w:leader="none"/>
              </w:tabs>
              <w:spacing w:lineRule="auto" w:line="254"/>
              <w:rPr>
                <w:rFonts w:eastAsia="WenQuanYi Micro Hei" w:cs="Times New Roman" w:ascii="Times New Roman" w:hAnsi="Times New Roman"/>
                <w:color w:val="00000A"/>
                <w:lang w:val="fr-FR"/>
              </w:rPr>
            </w:pPr>
            <w:r>
              <w:rPr>
                <w:rFonts w:eastAsia="WenQuanYi Micro Hei" w:cs="Lohit Hindi" w:ascii="Arial" w:hAnsi="Arial"/>
                <w:color w:val="00000A"/>
                <w:lang w:val="fr-FR"/>
              </w:rPr>
              <w:t xml:space="preserve">     </w:t>
            </w:r>
            <w:r>
              <w:rPr>
                <w:rFonts w:eastAsia="WenQuanYi Micro Hei" w:cs="Times New Roman" w:ascii="Times New Roman" w:hAnsi="Times New Roman"/>
                <w:color w:val="00000A"/>
                <w:lang w:val="fr-FR"/>
              </w:rPr>
              <w:t>REPUBLIQUE TOGOLAISE</w:t>
            </w:r>
          </w:p>
          <w:p>
            <w:pPr>
              <w:pStyle w:val="Normal1"/>
              <w:tabs>
                <w:tab w:val="center" w:pos="4536" w:leader="none"/>
                <w:tab w:val="right" w:pos="9072" w:leader="none"/>
              </w:tabs>
              <w:spacing w:lineRule="auto" w:line="254"/>
              <w:rPr>
                <w:rFonts w:eastAsia="WenQuanYi Micro Hei" w:cs="Times New Roman" w:ascii="Times New Roman" w:hAnsi="Times New Roman"/>
                <w:i/>
                <w:color w:val="00000A"/>
                <w:lang w:val="fr-FR"/>
              </w:rPr>
            </w:pPr>
            <w:r>
              <w:rPr>
                <w:rFonts w:eastAsia="WenQuanYi Micro Hei" w:cs="Times New Roman" w:ascii="Times New Roman" w:hAnsi="Times New Roman"/>
                <w:color w:val="00000A"/>
                <w:lang w:val="fr-FR"/>
              </w:rPr>
              <w:t xml:space="preserve">           </w:t>
            </w:r>
            <w:r>
              <w:rPr>
                <w:rFonts w:eastAsia="WenQuanYi Micro Hei" w:cs="Times New Roman" w:ascii="Times New Roman" w:hAnsi="Times New Roman"/>
                <w:i/>
                <w:color w:val="00000A"/>
                <w:lang w:val="fr-FR"/>
              </w:rPr>
              <w:t>Travail- Liberté-Patrie</w:t>
            </w:r>
          </w:p>
        </w:tc>
      </w:tr>
    </w:tbl>
    <w:p>
      <w:pPr>
        <w:pStyle w:val="Normal1"/>
        <w:rPr/>
      </w:pPr>
      <w:r>
        <w:rPr/>
      </w:r>
    </w:p>
    <w:p>
      <w:pPr>
        <w:pStyle w:val="Normal1"/>
        <w:rPr>
          <w:lang w:val="fr-FR"/>
        </w:rPr>
      </w:pPr>
      <w:r>
        <w:rPr>
          <w:lang w:val="fr-FR"/>
        </w:rPr>
      </w:r>
    </w:p>
    <w:p>
      <w:pPr>
        <w:pStyle w:val="Normal1"/>
        <w:rPr/>
      </w:pPr>
      <w:r>
        <w:rPr/>
      </w:r>
    </w:p>
    <w:p>
      <w:pPr>
        <w:pStyle w:val="Normal1"/>
        <w:jc w:val="center"/>
        <w:rPr>
          <w:rFonts w:cs="Liberation Serif"/>
          <w:b/>
          <w:bCs/>
          <w:sz w:val="32"/>
          <w:szCs w:val="32"/>
        </w:rPr>
      </w:pPr>
      <w:r>
        <w:rPr>
          <w:rFonts w:cs="Liberation Serif"/>
          <w:sz w:val="28"/>
          <w:szCs w:val="28"/>
        </w:rPr>
        <w:t xml:space="preserve">   </w:t>
      </w:r>
      <w:r>
        <w:rPr>
          <w:rFonts w:cs="Liberation Serif"/>
          <w:sz w:val="32"/>
          <w:szCs w:val="32"/>
        </w:rPr>
        <w:t xml:space="preserve">   </w:t>
      </w:r>
      <w:r>
        <w:rPr>
          <w:rFonts w:cs="Liberation Serif"/>
          <w:b/>
          <w:bCs/>
          <w:sz w:val="32"/>
          <w:szCs w:val="32"/>
        </w:rPr>
        <w:t xml:space="preserve"> </w:t>
      </w:r>
      <w:r>
        <w:rPr>
          <w:rFonts w:cs="Liberation Serif"/>
          <w:b/>
          <w:bCs/>
          <w:sz w:val="32"/>
          <w:szCs w:val="32"/>
        </w:rPr>
        <w:t>30</w:t>
      </w:r>
      <w:r>
        <w:rPr>
          <w:rFonts w:cs="Liberation Serif"/>
          <w:b/>
          <w:bCs/>
          <w:sz w:val="32"/>
          <w:szCs w:val="32"/>
          <w:vertAlign w:val="superscript"/>
        </w:rPr>
        <w:t>ème</w:t>
      </w:r>
      <w:r>
        <w:rPr>
          <w:rFonts w:cs="Liberation Serif"/>
          <w:b/>
          <w:bCs/>
          <w:sz w:val="32"/>
          <w:szCs w:val="32"/>
        </w:rPr>
        <w:t xml:space="preserve"> Session du Groupe de travail sur l’Examen Périodique Universel</w:t>
      </w:r>
    </w:p>
    <w:p>
      <w:pPr>
        <w:pStyle w:val="Normal1"/>
        <w:jc w:val="center"/>
        <w:rPr>
          <w:rFonts w:cs="Calibri" w:ascii="Calibri" w:hAnsi="Calibri"/>
        </w:rPr>
      </w:pPr>
      <w:r>
        <w:rPr>
          <w:rFonts w:cs="Calibri" w:ascii="Calibri" w:hAnsi="Calibri"/>
        </w:rPr>
      </w:r>
    </w:p>
    <w:p>
      <w:pPr>
        <w:pStyle w:val="Normal1"/>
        <w:jc w:val="center"/>
        <w:rPr>
          <w:rFonts w:cs="Calibri"/>
        </w:rPr>
      </w:pPr>
      <w:r>
        <w:rPr>
          <w:rFonts w:cs="Calibri"/>
        </w:rPr>
      </w:r>
    </w:p>
    <w:p>
      <w:pPr>
        <w:pStyle w:val="Normal1"/>
        <w:jc w:val="center"/>
        <w:rPr>
          <w:rFonts w:cs="Calibri"/>
        </w:rPr>
      </w:pPr>
      <w:r>
        <w:rPr>
          <w:rFonts w:cs="Calibri"/>
        </w:rPr>
      </w:r>
    </w:p>
    <w:p>
      <w:pPr>
        <w:pStyle w:val="Normal1"/>
        <w:jc w:val="center"/>
        <w:rPr>
          <w:rFonts w:cs="Liberation Serif"/>
          <w:b/>
          <w:bCs/>
          <w:i/>
          <w:iCs/>
          <w:sz w:val="32"/>
          <w:szCs w:val="32"/>
          <w:u w:val="single"/>
        </w:rPr>
      </w:pPr>
      <w:r>
        <w:rPr>
          <w:rFonts w:cs="Liberation Serif"/>
          <w:b/>
          <w:bCs/>
          <w:i/>
          <w:iCs/>
          <w:sz w:val="32"/>
          <w:szCs w:val="32"/>
          <w:u w:val="single"/>
        </w:rPr>
      </w:r>
    </w:p>
    <w:p>
      <w:pPr>
        <w:pStyle w:val="Normal1"/>
        <w:jc w:val="center"/>
        <w:rPr>
          <w:rFonts w:cs="Liberation Serif"/>
          <w:b/>
          <w:bCs/>
          <w:iCs/>
          <w:sz w:val="32"/>
          <w:szCs w:val="32"/>
        </w:rPr>
      </w:pPr>
      <w:r>
        <w:rPr>
          <w:rFonts w:cs="Liberation Serif"/>
          <w:b/>
          <w:bCs/>
          <w:iCs/>
          <w:sz w:val="32"/>
          <w:szCs w:val="32"/>
        </w:rPr>
        <w:t>Présentation du Rapport du Bangladesh</w:t>
      </w:r>
    </w:p>
    <w:p>
      <w:pPr>
        <w:pStyle w:val="Normal1"/>
        <w:jc w:val="center"/>
        <w:rPr>
          <w:rFonts w:cs="Calibri" w:ascii="Calibri" w:hAnsi="Calibri"/>
        </w:rPr>
      </w:pPr>
      <w:r>
        <w:rPr>
          <w:rFonts w:cs="Calibri" w:ascii="Calibri" w:hAnsi="Calibri"/>
        </w:rPr>
      </w:r>
    </w:p>
    <w:p>
      <w:pPr>
        <w:pStyle w:val="Normal1"/>
        <w:jc w:val="center"/>
        <w:rPr>
          <w:rFonts w:cs="Calibri"/>
        </w:rPr>
      </w:pPr>
      <w:r>
        <w:rPr>
          <w:rFonts w:cs="Calibri"/>
        </w:rPr>
      </w:r>
    </w:p>
    <w:p>
      <w:pPr>
        <w:pStyle w:val="Normal1"/>
        <w:rPr>
          <w:rFonts w:cs="Calibri"/>
        </w:rPr>
      </w:pPr>
      <w:r>
        <w:rPr>
          <w:rFonts w:cs="Calibri"/>
        </w:rPr>
      </w:r>
    </w:p>
    <w:p>
      <w:pPr>
        <w:pStyle w:val="Normal1"/>
        <w:jc w:val="center"/>
        <w:rPr>
          <w:rFonts w:cs="Calibri"/>
        </w:rPr>
      </w:pPr>
      <w:r>
        <w:rPr>
          <w:rFonts w:cs="Calibri"/>
        </w:rPr>
      </w:r>
    </w:p>
    <w:p>
      <w:pPr>
        <w:pStyle w:val="Normal1"/>
        <w:jc w:val="center"/>
        <w:rPr>
          <w:rFonts w:cs="Calibri"/>
        </w:rPr>
      </w:pPr>
      <w:r>
        <w:rPr>
          <w:rFonts w:cs="Calibri"/>
        </w:rPr>
      </w:r>
    </w:p>
    <w:p>
      <w:pPr>
        <w:pStyle w:val="Normal1"/>
        <w:jc w:val="center"/>
        <w:rPr>
          <w:rFonts w:cs="Liberation Serif"/>
          <w:bCs/>
          <w:i/>
          <w:sz w:val="32"/>
          <w:szCs w:val="32"/>
        </w:rPr>
      </w:pPr>
      <w:r>
        <w:rPr>
          <w:rFonts w:cs="Liberation Serif"/>
          <w:bCs/>
          <w:i/>
          <w:sz w:val="32"/>
          <w:szCs w:val="32"/>
        </w:rPr>
        <w:t>Déclaration de la Délégation Togolaise</w:t>
      </w:r>
    </w:p>
    <w:p>
      <w:pPr>
        <w:pStyle w:val="Normal1"/>
        <w:jc w:val="center"/>
        <w:rPr>
          <w:rFonts w:cs="Calibri" w:ascii="Calibri" w:hAnsi="Calibri"/>
        </w:rPr>
      </w:pPr>
      <w:r>
        <w:rPr>
          <w:rFonts w:cs="Calibri" w:ascii="Calibri" w:hAnsi="Calibri"/>
        </w:rPr>
      </w:r>
    </w:p>
    <w:p>
      <w:pPr>
        <w:pStyle w:val="Normal1"/>
        <w:rPr>
          <w:rFonts w:cs="Calibri"/>
        </w:rPr>
      </w:pPr>
      <w:r>
        <w:rPr>
          <w:rFonts w:cs="Calibri"/>
        </w:rPr>
      </w:r>
    </w:p>
    <w:p>
      <w:pPr>
        <w:pStyle w:val="Normal1"/>
        <w:rPr>
          <w:rFonts w:cs="Calibri"/>
        </w:rPr>
      </w:pPr>
      <w:r>
        <w:rPr>
          <w:rFonts w:cs="Calibri"/>
        </w:rPr>
      </w:r>
    </w:p>
    <w:p>
      <w:pPr>
        <w:pStyle w:val="Normal1"/>
        <w:rPr>
          <w:rFonts w:cs="Calibri"/>
        </w:rPr>
      </w:pPr>
      <w:r>
        <w:rPr>
          <w:rFonts w:cs="Calibri"/>
        </w:rPr>
      </w:r>
    </w:p>
    <w:p>
      <w:pPr>
        <w:pStyle w:val="Normal1"/>
        <w:rPr>
          <w:rFonts w:cs="Calibri"/>
        </w:rPr>
      </w:pPr>
      <w:r>
        <w:rPr>
          <w:rFonts w:cs="Calibri"/>
        </w:rPr>
      </w:r>
    </w:p>
    <w:p>
      <w:pPr>
        <w:pStyle w:val="Normal1"/>
        <w:rPr>
          <w:rFonts w:cs="Calibri"/>
        </w:rPr>
      </w:pPr>
      <w:r>
        <w:rPr>
          <w:rFonts w:cs="Calibri"/>
        </w:rPr>
      </w:r>
    </w:p>
    <w:p>
      <w:pPr>
        <w:pStyle w:val="Normal1"/>
        <w:jc w:val="center"/>
        <w:rPr>
          <w:rFonts w:cs="Calibri"/>
        </w:rPr>
      </w:pPr>
      <w:r>
        <w:rPr>
          <w:rFonts w:cs="Calibri"/>
        </w:rPr>
      </w:r>
    </w:p>
    <w:p>
      <w:pPr>
        <w:pStyle w:val="Normal1"/>
        <w:jc w:val="center"/>
        <w:rPr>
          <w:rFonts w:cs="Calibri"/>
        </w:rPr>
      </w:pPr>
      <w:r>
        <w:rPr>
          <w:rFonts w:cs="Calibri"/>
        </w:rPr>
      </w:r>
    </w:p>
    <w:p>
      <w:pPr>
        <w:pStyle w:val="Normal1"/>
        <w:jc w:val="center"/>
        <w:rPr>
          <w:rFonts w:cs="Calibri"/>
        </w:rPr>
      </w:pPr>
      <w:r>
        <w:rPr>
          <w:rFonts w:cs="Calibri"/>
        </w:rPr>
      </w:r>
    </w:p>
    <w:p>
      <w:pPr>
        <w:pStyle w:val="Normal1"/>
        <w:jc w:val="center"/>
        <w:rPr>
          <w:rFonts w:cs="Calibri"/>
        </w:rPr>
      </w:pPr>
      <w:r>
        <w:rPr>
          <w:rFonts w:cs="Calibri"/>
        </w:rPr>
      </w:r>
    </w:p>
    <w:p>
      <w:pPr>
        <w:pStyle w:val="Normal1"/>
        <w:jc w:val="center"/>
        <w:rPr>
          <w:rFonts w:cs="Calibri"/>
        </w:rPr>
      </w:pPr>
      <w:r>
        <w:rPr>
          <w:rFonts w:cs="Calibri"/>
        </w:rPr>
      </w:r>
    </w:p>
    <w:p>
      <w:pPr>
        <w:pStyle w:val="Normal1"/>
        <w:jc w:val="right"/>
        <w:rPr>
          <w:rFonts w:cs="Liberation Serif"/>
          <w:b/>
          <w:bCs/>
          <w:sz w:val="32"/>
          <w:szCs w:val="32"/>
        </w:rPr>
      </w:pPr>
      <w:r>
        <w:rPr>
          <w:rFonts w:cs="Liberation Serif"/>
          <w:b/>
          <w:bCs/>
          <w:sz w:val="32"/>
          <w:szCs w:val="32"/>
        </w:rPr>
        <w:t>Genève, 14 mai 2018</w:t>
      </w:r>
    </w:p>
    <w:p>
      <w:pPr>
        <w:pStyle w:val="Normal1"/>
        <w:jc w:val="right"/>
        <w:rPr>
          <w:rFonts w:cs="Liberation Serif"/>
          <w:b/>
          <w:bCs/>
          <w:sz w:val="32"/>
          <w:szCs w:val="32"/>
        </w:rPr>
      </w:pPr>
      <w:r>
        <w:rPr>
          <w:rFonts w:cs="Liberation Serif"/>
          <w:b/>
          <w:bCs/>
          <w:sz w:val="32"/>
          <w:szCs w:val="32"/>
        </w:rPr>
      </w:r>
    </w:p>
    <w:p>
      <w:pPr>
        <w:pStyle w:val="Normal1"/>
        <w:jc w:val="right"/>
        <w:rPr>
          <w:rFonts w:cs="Liberation Serif"/>
          <w:b/>
          <w:bCs/>
        </w:rPr>
      </w:pPr>
      <w:r>
        <w:rPr>
          <w:rFonts w:cs="Liberation Serif"/>
          <w:b/>
          <w:bCs/>
        </w:rPr>
        <w:t>09h-12h30</w:t>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right"/>
        <w:rPr>
          <w:rFonts w:cs="Liberation Serif"/>
          <w:b/>
          <w:bCs/>
          <w:sz w:val="18"/>
          <w:szCs w:val="18"/>
        </w:rPr>
      </w:pPr>
      <w:r>
        <w:rPr>
          <w:rFonts w:cs="Liberation Serif"/>
          <w:b/>
          <w:bCs/>
          <w:sz w:val="18"/>
          <w:szCs w:val="18"/>
        </w:rPr>
      </w:r>
    </w:p>
    <w:p>
      <w:pPr>
        <w:pStyle w:val="Normal1"/>
        <w:jc w:val="both"/>
        <w:rPr>
          <w:rFonts w:ascii="Times New Roman" w:hAnsi="Times New Roman"/>
          <w:sz w:val="28"/>
          <w:szCs w:val="28"/>
        </w:rPr>
      </w:pPr>
      <w:r>
        <w:rPr>
          <w:rFonts w:ascii="Times New Roman" w:hAnsi="Times New Roman"/>
          <w:sz w:val="28"/>
          <w:szCs w:val="28"/>
        </w:rPr>
      </w:r>
    </w:p>
    <w:p>
      <w:pPr>
        <w:pStyle w:val="Normal1"/>
        <w:jc w:val="both"/>
        <w:rPr>
          <w:rFonts w:ascii="Times New Roman" w:hAnsi="Times New Roman"/>
          <w:sz w:val="32"/>
          <w:szCs w:val="32"/>
        </w:rPr>
      </w:pPr>
      <w:r>
        <w:rPr>
          <w:rFonts w:ascii="Times New Roman" w:hAnsi="Times New Roman"/>
          <w:sz w:val="32"/>
          <w:szCs w:val="32"/>
        </w:rPr>
        <w:t>Monsieur le Président,</w:t>
      </w:r>
    </w:p>
    <w:p>
      <w:pPr>
        <w:pStyle w:val="Normal1"/>
        <w:jc w:val="both"/>
        <w:rPr>
          <w:rFonts w:ascii="Times New Roman" w:hAnsi="Times New Roman"/>
          <w:sz w:val="32"/>
          <w:szCs w:val="32"/>
        </w:rPr>
      </w:pPr>
      <w:r>
        <w:rPr>
          <w:rFonts w:ascii="Times New Roman" w:hAnsi="Times New Roman"/>
          <w:sz w:val="32"/>
          <w:szCs w:val="32"/>
        </w:rPr>
      </w:r>
    </w:p>
    <w:p>
      <w:pPr>
        <w:pStyle w:val="Normal1"/>
        <w:jc w:val="both"/>
        <w:rPr>
          <w:rFonts w:ascii="Times New Roman" w:hAnsi="Times New Roman"/>
          <w:sz w:val="32"/>
          <w:szCs w:val="32"/>
        </w:rPr>
      </w:pPr>
      <w:r>
        <w:rPr>
          <w:rFonts w:ascii="Times New Roman" w:hAnsi="Times New Roman"/>
          <w:sz w:val="32"/>
          <w:szCs w:val="32"/>
        </w:rPr>
        <w:t>Ma délégation souhaite la cordiale bienvenue à la délégation du Bangladesh à ce troisième cycle de l’Examen Périodique Universel.</w:t>
      </w:r>
    </w:p>
    <w:p>
      <w:pPr>
        <w:pStyle w:val="Normal1"/>
        <w:jc w:val="both"/>
        <w:rPr>
          <w:rFonts w:ascii="Times New Roman" w:hAnsi="Times New Roman"/>
          <w:sz w:val="32"/>
          <w:szCs w:val="32"/>
        </w:rPr>
      </w:pPr>
      <w:r>
        <w:rPr>
          <w:rFonts w:ascii="Times New Roman" w:hAnsi="Times New Roman"/>
          <w:sz w:val="32"/>
          <w:szCs w:val="32"/>
        </w:rPr>
      </w:r>
    </w:p>
    <w:p>
      <w:pPr>
        <w:pStyle w:val="Normal1"/>
        <w:jc w:val="both"/>
        <w:rPr>
          <w:rFonts w:ascii="Times New Roman" w:hAnsi="Times New Roman"/>
          <w:sz w:val="32"/>
          <w:szCs w:val="32"/>
        </w:rPr>
      </w:pPr>
      <w:r>
        <w:rPr>
          <w:rFonts w:ascii="Times New Roman" w:hAnsi="Times New Roman"/>
          <w:sz w:val="32"/>
          <w:szCs w:val="32"/>
        </w:rPr>
        <w:t xml:space="preserve">Le Togo salue la collaboration du gouvernement du Bangladesh avec les mécanismes des droits de l’homme à travers la soumission des rapports sur le pacte international relatif aux droits civils et politique et sur la Convention sur la protection des droits des travailleurs migrants et des membres de leur famille. </w:t>
      </w:r>
    </w:p>
    <w:p>
      <w:pPr>
        <w:pStyle w:val="Normal1"/>
        <w:jc w:val="both"/>
        <w:rPr>
          <w:rFonts w:ascii="Times New Roman" w:hAnsi="Times New Roman"/>
          <w:sz w:val="32"/>
          <w:szCs w:val="32"/>
        </w:rPr>
      </w:pPr>
      <w:r>
        <w:rPr>
          <w:rFonts w:ascii="Times New Roman" w:hAnsi="Times New Roman"/>
          <w:sz w:val="32"/>
          <w:szCs w:val="32"/>
        </w:rPr>
      </w:r>
    </w:p>
    <w:p>
      <w:pPr>
        <w:pStyle w:val="Normal1"/>
        <w:jc w:val="both"/>
        <w:rPr>
          <w:rFonts w:ascii="Times New Roman" w:hAnsi="Times New Roman"/>
          <w:sz w:val="32"/>
          <w:szCs w:val="32"/>
        </w:rPr>
      </w:pPr>
      <w:r>
        <w:rPr>
          <w:rFonts w:ascii="Times New Roman" w:hAnsi="Times New Roman"/>
          <w:sz w:val="32"/>
          <w:szCs w:val="32"/>
        </w:rPr>
        <w:t>Ma délégation prend note de la décision du</w:t>
      </w:r>
      <w:bookmarkStart w:id="0" w:name="_GoBack"/>
      <w:bookmarkEnd w:id="0"/>
      <w:r>
        <w:rPr>
          <w:rFonts w:ascii="Times New Roman" w:hAnsi="Times New Roman"/>
          <w:sz w:val="32"/>
          <w:szCs w:val="32"/>
        </w:rPr>
        <w:t xml:space="preserve"> Gouvernement du Bangladesh de renforcer l’efficacité et l’indépendance de la Commission nationale des droits de l’homme en augmentant son budget et son personnel.</w:t>
      </w:r>
    </w:p>
    <w:p>
      <w:pPr>
        <w:pStyle w:val="Normal1"/>
        <w:jc w:val="both"/>
        <w:rPr>
          <w:rFonts w:ascii="Times New Roman" w:hAnsi="Times New Roman"/>
          <w:sz w:val="32"/>
          <w:szCs w:val="32"/>
        </w:rPr>
      </w:pPr>
      <w:r>
        <w:rPr>
          <w:rFonts w:ascii="Times New Roman" w:hAnsi="Times New Roman"/>
          <w:sz w:val="32"/>
          <w:szCs w:val="32"/>
        </w:rPr>
      </w:r>
    </w:p>
    <w:p>
      <w:pPr>
        <w:pStyle w:val="Normal1"/>
        <w:jc w:val="both"/>
        <w:rPr>
          <w:rFonts w:ascii="Times New Roman" w:hAnsi="Times New Roman"/>
          <w:sz w:val="32"/>
          <w:szCs w:val="32"/>
        </w:rPr>
      </w:pPr>
      <w:r>
        <w:rPr>
          <w:rFonts w:ascii="Times New Roman" w:hAnsi="Times New Roman"/>
          <w:sz w:val="32"/>
          <w:szCs w:val="32"/>
        </w:rPr>
        <w:t>Le Togo félicite le Bangladesh pour les efforts consentis pour faire face à l’afflux de réfugiés Rohingya.</w:t>
      </w:r>
    </w:p>
    <w:p>
      <w:pPr>
        <w:pStyle w:val="Normal1"/>
        <w:jc w:val="both"/>
        <w:rPr>
          <w:rFonts w:ascii="Times New Roman" w:hAnsi="Times New Roman"/>
          <w:sz w:val="32"/>
          <w:szCs w:val="32"/>
        </w:rPr>
      </w:pPr>
      <w:r>
        <w:rPr>
          <w:rFonts w:ascii="Times New Roman" w:hAnsi="Times New Roman"/>
          <w:sz w:val="32"/>
          <w:szCs w:val="32"/>
        </w:rPr>
        <w:t xml:space="preserve"> </w:t>
      </w:r>
    </w:p>
    <w:p>
      <w:pPr>
        <w:pStyle w:val="Normal1"/>
        <w:jc w:val="both"/>
        <w:rPr>
          <w:rFonts w:ascii="Times New Roman" w:hAnsi="Times New Roman"/>
          <w:sz w:val="32"/>
          <w:szCs w:val="32"/>
        </w:rPr>
      </w:pPr>
      <w:r>
        <w:rPr>
          <w:rFonts w:ascii="Times New Roman" w:hAnsi="Times New Roman"/>
          <w:sz w:val="32"/>
          <w:szCs w:val="32"/>
        </w:rPr>
        <w:t>Le Togo recommande au Bangladesh de :</w:t>
      </w:r>
    </w:p>
    <w:p>
      <w:pPr>
        <w:pStyle w:val="Normal1"/>
        <w:jc w:val="both"/>
        <w:rPr>
          <w:rFonts w:ascii="Times New Roman" w:hAnsi="Times New Roman"/>
          <w:sz w:val="32"/>
          <w:szCs w:val="32"/>
        </w:rPr>
      </w:pPr>
      <w:r>
        <w:rPr>
          <w:rFonts w:ascii="Times New Roman" w:hAnsi="Times New Roman"/>
          <w:sz w:val="32"/>
          <w:szCs w:val="32"/>
        </w:rPr>
      </w:r>
    </w:p>
    <w:p>
      <w:pPr>
        <w:pStyle w:val="Normal1"/>
        <w:numPr>
          <w:ilvl w:val="0"/>
          <w:numId w:val="1"/>
        </w:numPr>
        <w:jc w:val="both"/>
        <w:rPr>
          <w:rFonts w:ascii="Times New Roman" w:hAnsi="Times New Roman"/>
          <w:sz w:val="32"/>
          <w:szCs w:val="32"/>
        </w:rPr>
      </w:pPr>
      <w:r>
        <w:rPr>
          <w:rFonts w:ascii="Times New Roman" w:hAnsi="Times New Roman"/>
          <w:sz w:val="32"/>
          <w:szCs w:val="32"/>
        </w:rPr>
        <w:t>Ratifier la Convention internationale pour la protection de toutes les personnes contre les disparitions forcées ;</w:t>
      </w:r>
    </w:p>
    <w:p>
      <w:pPr>
        <w:pStyle w:val="Normal1"/>
        <w:ind w:left="720" w:right="0" w:hanging="0"/>
        <w:jc w:val="both"/>
        <w:rPr>
          <w:rFonts w:ascii="Times New Roman" w:hAnsi="Times New Roman"/>
          <w:sz w:val="32"/>
          <w:szCs w:val="32"/>
        </w:rPr>
      </w:pPr>
      <w:r>
        <w:rPr>
          <w:rFonts w:ascii="Times New Roman" w:hAnsi="Times New Roman"/>
          <w:sz w:val="32"/>
          <w:szCs w:val="32"/>
        </w:rPr>
      </w:r>
    </w:p>
    <w:p>
      <w:pPr>
        <w:pStyle w:val="Normal1"/>
        <w:numPr>
          <w:ilvl w:val="0"/>
          <w:numId w:val="1"/>
        </w:numPr>
        <w:jc w:val="both"/>
        <w:rPr>
          <w:rFonts w:ascii="Times New Roman" w:hAnsi="Times New Roman"/>
          <w:sz w:val="32"/>
          <w:szCs w:val="32"/>
        </w:rPr>
      </w:pPr>
      <w:r>
        <w:rPr>
          <w:rFonts w:ascii="Times New Roman" w:hAnsi="Times New Roman"/>
          <w:sz w:val="32"/>
          <w:szCs w:val="32"/>
        </w:rPr>
        <w:t xml:space="preserve">Adhérer au deuxième protocole facultatif se rapportant au pacte international relatif aux droits civils et politiques, visant l’abolition de la peine de mort. </w:t>
      </w:r>
    </w:p>
    <w:p>
      <w:pPr>
        <w:pStyle w:val="Normal1"/>
        <w:jc w:val="both"/>
        <w:rPr>
          <w:rFonts w:ascii="Times New Roman" w:hAnsi="Times New Roman"/>
          <w:sz w:val="32"/>
          <w:szCs w:val="32"/>
        </w:rPr>
      </w:pPr>
      <w:r>
        <w:rPr>
          <w:rFonts w:ascii="Times New Roman" w:hAnsi="Times New Roman"/>
          <w:sz w:val="32"/>
          <w:szCs w:val="32"/>
        </w:rPr>
      </w:r>
    </w:p>
    <w:p>
      <w:pPr>
        <w:pStyle w:val="Normal1"/>
        <w:jc w:val="both"/>
        <w:rPr>
          <w:rFonts w:ascii="Times New Roman" w:hAnsi="Times New Roman"/>
          <w:sz w:val="32"/>
          <w:szCs w:val="32"/>
        </w:rPr>
      </w:pPr>
      <w:r>
        <w:rPr>
          <w:rFonts w:ascii="Times New Roman" w:hAnsi="Times New Roman"/>
          <w:sz w:val="32"/>
          <w:szCs w:val="32"/>
        </w:rPr>
        <w:t>Pour terminer, la délégation togolaise souhaite plein succès à la délégation Bangladesh dans la mise en œuvre des recommandations qu’il aura accepté</w:t>
      </w:r>
      <w:r>
        <w:rPr>
          <w:rFonts w:ascii="Times New Roman" w:hAnsi="Times New Roman"/>
          <w:sz w:val="32"/>
          <w:szCs w:val="32"/>
        </w:rPr>
        <w:t>es</w:t>
      </w:r>
      <w:r>
        <w:rPr>
          <w:rFonts w:ascii="Times New Roman" w:hAnsi="Times New Roman"/>
          <w:sz w:val="32"/>
          <w:szCs w:val="32"/>
        </w:rPr>
        <w:t xml:space="preserve"> à l’issue du présent cycle de l’EPU.</w:t>
      </w:r>
    </w:p>
    <w:p>
      <w:pPr>
        <w:pStyle w:val="Normal1"/>
        <w:jc w:val="both"/>
        <w:rPr>
          <w:rFonts w:ascii="Times New Roman" w:hAnsi="Times New Roman"/>
          <w:sz w:val="32"/>
          <w:szCs w:val="32"/>
        </w:rPr>
      </w:pPr>
      <w:r>
        <w:rPr>
          <w:rFonts w:ascii="Times New Roman" w:hAnsi="Times New Roman"/>
          <w:sz w:val="32"/>
          <w:szCs w:val="32"/>
        </w:rPr>
        <w:t xml:space="preserve"> </w:t>
      </w:r>
    </w:p>
    <w:p>
      <w:pPr>
        <w:pStyle w:val="Normal1"/>
        <w:jc w:val="both"/>
        <w:rPr>
          <w:rFonts w:ascii="Times New Roman" w:hAnsi="Times New Roman"/>
          <w:sz w:val="32"/>
          <w:szCs w:val="32"/>
        </w:rPr>
      </w:pPr>
      <w:r>
        <w:rPr>
          <w:rFonts w:ascii="Times New Roman" w:hAnsi="Times New Roman"/>
          <w:sz w:val="32"/>
          <w:szCs w:val="32"/>
        </w:rPr>
        <w:t>Je vous remercie</w:t>
      </w:r>
    </w:p>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fr-CH" w:eastAsia="en-US" w:bidi="ar-SA"/>
      </w:rPr>
    </w:rPrDefault>
    <w:pPrDefault>
      <w:pPr>
        <w:spacing w:lineRule="auto" w:line="256"/>
      </w:pPr>
    </w:pPrDefault>
  </w:docDefaults>
  <w:latentStyles w:count="375"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rsid w:val="009b7848"/>
    <w:pPr>
      <w:widowControl/>
      <w:suppressAutoHyphens w:val="true"/>
      <w:bidi w:val="0"/>
      <w:spacing w:lineRule="auto" w:line="252" w:before="0" w:after="0"/>
      <w:jc w:val="left"/>
    </w:pPr>
    <w:rPr>
      <w:rFonts w:ascii="Calibri" w:hAnsi="Calibri" w:eastAsia="Droid Sans Fallback" w:cs="Calibri"/>
      <w:color w:val="auto"/>
      <w:sz w:val="22"/>
      <w:szCs w:val="22"/>
      <w:lang w:val="fr-CH" w:eastAsia="en-US" w:bidi="ar-SA"/>
    </w:rPr>
  </w:style>
  <w:style w:type="character" w:styleId="DefaultParagraphFont" w:default="1">
    <w:name w:val="Default Paragraph Font"/>
    <w:uiPriority w:val="1"/>
    <w:semiHidden/>
    <w:unhideWhenUsed/>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1" w:customStyle="1">
    <w:name w:val="Normal1"/>
    <w:rsid w:val="009b7848"/>
    <w:pPr>
      <w:widowControl/>
      <w:suppressAutoHyphens w:val="true"/>
      <w:bidi w:val="0"/>
      <w:spacing w:lineRule="auto" w:line="240" w:before="0" w:after="0"/>
      <w:jc w:val="left"/>
    </w:pPr>
    <w:rPr>
      <w:rFonts w:ascii="Liberation Serif" w:hAnsi="Liberation Serif" w:eastAsia="Noto Sans CJK SC Regular" w:cs="FreeSans"/>
      <w:color w:val="auto"/>
      <w:sz w:val="24"/>
      <w:szCs w:val="24"/>
      <w:lang w:eastAsia="zh-CN" w:bidi="hi-IN" w:val="fr-CH"/>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numbering" Target="numbering.xml"/><Relationship Id="rId7" Type="http://schemas.openxmlformats.org/officeDocument/2006/relationships/customXml" Target="../customXml/item1.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AE1FC-6FD1-4C6F-AB99-5D74C5FED2C4}"/>
</file>

<file path=customXml/itemProps2.xml><?xml version="1.0" encoding="utf-8"?>
<ds:datastoreItem xmlns:ds="http://schemas.openxmlformats.org/officeDocument/2006/customXml" ds:itemID="{BE9A707E-3021-4596-99A9-8A27CA3DAF37}"/>
</file>

<file path=customXml/itemProps3.xml><?xml version="1.0" encoding="utf-8"?>
<ds:datastoreItem xmlns:ds="http://schemas.openxmlformats.org/officeDocument/2006/customXml" ds:itemID="{FCB2AF1B-1A3D-431E-BC7E-1B0724CC0849}"/>
</file>

<file path=docProps/app.xml><?xml version="1.0" encoding="utf-8"?>
<Properties xmlns="http://schemas.openxmlformats.org/officeDocument/2006/extended-properties" xmlns:vt="http://schemas.openxmlformats.org/officeDocument/2006/docPropsVTypes">
  <Template>Normal</Template>
  <TotalTime>96</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Mission du Togo</dc:creator>
  <cp:lastModifiedBy>Mission du Togo</cp:lastModifiedBy>
  <cp:revision>6</cp:revision>
  <dcterms:created xsi:type="dcterms:W3CDTF">2017-11-13T10:36:00Z</dcterms:created>
  <dcterms:modified xsi:type="dcterms:W3CDTF">2018-05-08T08:57:00Z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