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F29" w:rsidRDefault="00E76F29">
      <w:pPr>
        <w:pStyle w:val="MessageHeader"/>
        <w:tabs>
          <w:tab w:val="left" w:pos="709"/>
        </w:tabs>
        <w:ind w:left="1260" w:hanging="1260"/>
        <w:jc w:val="right"/>
        <w:rPr>
          <w:rFonts w:ascii="Verdana" w:hAnsi="Verdana"/>
          <w:noProof/>
          <w:lang w:eastAsia="en-GB"/>
        </w:rPr>
      </w:pPr>
    </w:p>
    <w:p w:rsidR="00E76F29" w:rsidRDefault="00F34CE7">
      <w:pPr>
        <w:pStyle w:val="MessageHeader"/>
        <w:tabs>
          <w:tab w:val="left" w:pos="709"/>
        </w:tabs>
        <w:ind w:left="1260" w:hanging="1260"/>
        <w:jc w:val="center"/>
        <w:rPr>
          <w:rFonts w:ascii="Verdana" w:hAnsi="Verdana"/>
        </w:rPr>
      </w:pPr>
      <w:r>
        <w:rPr>
          <w:rFonts w:ascii="Verdana" w:hAnsi="Verdana"/>
          <w:noProof/>
          <w:lang w:eastAsia="en-GB"/>
        </w:rPr>
        <w:drawing>
          <wp:inline distT="0" distB="0" distL="0" distR="0">
            <wp:extent cx="1476375" cy="1389530"/>
            <wp:effectExtent l="0" t="0" r="0" b="127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1476375" cy="1389530"/>
                    </a:xfrm>
                    <a:prstGeom prst="rect">
                      <a:avLst/>
                    </a:prstGeom>
                    <a:ln>
                      <a:noFill/>
                    </a:ln>
                  </pic:spPr>
                </pic:pic>
              </a:graphicData>
            </a:graphic>
          </wp:inline>
        </w:drawing>
      </w:r>
    </w:p>
    <w:p w:rsidR="00BA6E9C" w:rsidRDefault="00BA6E9C">
      <w:pPr>
        <w:pStyle w:val="MessageHeader"/>
        <w:spacing w:line="240" w:lineRule="auto"/>
        <w:ind w:left="1260" w:hanging="1260"/>
        <w:jc w:val="center"/>
        <w:rPr>
          <w:rFonts w:ascii="Times New Roman" w:hAnsi="Times New Roman"/>
          <w:b/>
          <w:bCs/>
          <w:sz w:val="24"/>
          <w:szCs w:val="24"/>
        </w:rPr>
      </w:pPr>
    </w:p>
    <w:p w:rsidR="00BA6E9C" w:rsidRPr="00AC0372" w:rsidRDefault="00BA6E9C" w:rsidP="00BA6E9C">
      <w:pPr>
        <w:jc w:val="center"/>
        <w:rPr>
          <w:b/>
          <w:sz w:val="28"/>
          <w:szCs w:val="28"/>
        </w:rPr>
      </w:pPr>
      <w:r w:rsidRPr="00AC0372">
        <w:rPr>
          <w:b/>
          <w:sz w:val="28"/>
          <w:szCs w:val="28"/>
        </w:rPr>
        <w:t>STATEMENT</w:t>
      </w:r>
    </w:p>
    <w:p w:rsidR="00BA6E9C" w:rsidRDefault="00BA6E9C" w:rsidP="00BA6E9C">
      <w:pPr>
        <w:jc w:val="center"/>
        <w:rPr>
          <w:b/>
          <w:sz w:val="28"/>
          <w:szCs w:val="28"/>
        </w:rPr>
      </w:pPr>
    </w:p>
    <w:p w:rsidR="00BA6E9C" w:rsidRPr="00AC0372" w:rsidRDefault="00BA6E9C" w:rsidP="00BA6E9C">
      <w:pPr>
        <w:jc w:val="center"/>
        <w:rPr>
          <w:b/>
          <w:sz w:val="28"/>
          <w:szCs w:val="28"/>
        </w:rPr>
      </w:pPr>
      <w:r w:rsidRPr="00AC0372">
        <w:rPr>
          <w:b/>
          <w:sz w:val="28"/>
          <w:szCs w:val="28"/>
        </w:rPr>
        <w:t>BY</w:t>
      </w:r>
    </w:p>
    <w:p w:rsidR="00BA6E9C" w:rsidRDefault="00BA6E9C" w:rsidP="00BA6E9C">
      <w:pPr>
        <w:jc w:val="center"/>
        <w:rPr>
          <w:b/>
          <w:sz w:val="28"/>
          <w:szCs w:val="28"/>
        </w:rPr>
      </w:pPr>
    </w:p>
    <w:p w:rsidR="00BA6E9C" w:rsidRPr="00AC0372" w:rsidRDefault="00BA6E9C" w:rsidP="00BA6E9C">
      <w:pPr>
        <w:jc w:val="center"/>
        <w:rPr>
          <w:b/>
          <w:sz w:val="28"/>
          <w:szCs w:val="28"/>
        </w:rPr>
      </w:pPr>
      <w:r w:rsidRPr="00AC0372">
        <w:rPr>
          <w:b/>
          <w:sz w:val="28"/>
          <w:szCs w:val="28"/>
        </w:rPr>
        <w:t>H.E. MAKEDA ANTOINE-CAMBRIDGE</w:t>
      </w:r>
    </w:p>
    <w:p w:rsidR="00BA6E9C" w:rsidRPr="00AC0372" w:rsidRDefault="00BA6E9C" w:rsidP="00BA6E9C">
      <w:pPr>
        <w:jc w:val="center"/>
        <w:rPr>
          <w:b/>
          <w:sz w:val="28"/>
          <w:szCs w:val="28"/>
        </w:rPr>
      </w:pPr>
      <w:r w:rsidRPr="00AC0372">
        <w:rPr>
          <w:b/>
          <w:sz w:val="28"/>
          <w:szCs w:val="28"/>
        </w:rPr>
        <w:t>AMBASSADOR, PERMANENT REPRESENTATIVE</w:t>
      </w:r>
    </w:p>
    <w:p w:rsidR="00BA6E9C" w:rsidRPr="00AC0372" w:rsidRDefault="00BA6E9C" w:rsidP="00BA6E9C">
      <w:pPr>
        <w:jc w:val="center"/>
        <w:rPr>
          <w:b/>
          <w:sz w:val="28"/>
          <w:szCs w:val="28"/>
        </w:rPr>
      </w:pPr>
    </w:p>
    <w:p w:rsidR="00BA6E9C" w:rsidRPr="00AC0372" w:rsidRDefault="00BA6E9C" w:rsidP="00BA6E9C">
      <w:pPr>
        <w:jc w:val="center"/>
        <w:rPr>
          <w:b/>
          <w:sz w:val="28"/>
          <w:szCs w:val="28"/>
        </w:rPr>
      </w:pPr>
      <w:r w:rsidRPr="00AC0372">
        <w:rPr>
          <w:b/>
          <w:sz w:val="28"/>
          <w:szCs w:val="28"/>
        </w:rPr>
        <w:t xml:space="preserve">PERMANENT MISSION OF THE REPUBLIC OF TRINIDAD AND TOBAGO TO THE OFFICE OF THE UNITED NATIONS, GENEVA </w:t>
      </w:r>
    </w:p>
    <w:p w:rsidR="00BA6E9C" w:rsidRPr="00AC0372" w:rsidRDefault="00BA6E9C" w:rsidP="00BA6E9C">
      <w:pPr>
        <w:jc w:val="center"/>
        <w:rPr>
          <w:b/>
          <w:sz w:val="28"/>
          <w:szCs w:val="28"/>
        </w:rPr>
      </w:pPr>
    </w:p>
    <w:p w:rsidR="00BA6E9C" w:rsidRPr="00AC0372" w:rsidRDefault="00BA6E9C" w:rsidP="00BA6E9C">
      <w:pPr>
        <w:jc w:val="center"/>
        <w:rPr>
          <w:b/>
          <w:sz w:val="28"/>
          <w:szCs w:val="28"/>
        </w:rPr>
      </w:pPr>
      <w:r w:rsidRPr="00AC0372">
        <w:rPr>
          <w:b/>
          <w:sz w:val="28"/>
          <w:szCs w:val="28"/>
        </w:rPr>
        <w:t xml:space="preserve">AT THE </w:t>
      </w:r>
    </w:p>
    <w:p w:rsidR="00BA6E9C" w:rsidRDefault="00BA6E9C" w:rsidP="00BA6E9C">
      <w:pPr>
        <w:jc w:val="center"/>
        <w:rPr>
          <w:b/>
          <w:sz w:val="28"/>
          <w:szCs w:val="28"/>
        </w:rPr>
      </w:pPr>
    </w:p>
    <w:p w:rsidR="00BA6E9C" w:rsidRDefault="00BA6E9C" w:rsidP="00BA6E9C">
      <w:pPr>
        <w:jc w:val="center"/>
        <w:rPr>
          <w:b/>
          <w:sz w:val="28"/>
          <w:szCs w:val="28"/>
        </w:rPr>
      </w:pPr>
      <w:r w:rsidRPr="00AC0372">
        <w:rPr>
          <w:b/>
          <w:sz w:val="28"/>
          <w:szCs w:val="28"/>
        </w:rPr>
        <w:t xml:space="preserve">THIRD CYCLE OF THE UNIVERSAL PERIODIC REVIEW OF </w:t>
      </w:r>
    </w:p>
    <w:p w:rsidR="00BA6E9C" w:rsidRPr="00AC0372" w:rsidRDefault="009D7BCE" w:rsidP="00BA6E9C">
      <w:pPr>
        <w:jc w:val="center"/>
        <w:rPr>
          <w:b/>
          <w:sz w:val="28"/>
          <w:szCs w:val="28"/>
        </w:rPr>
      </w:pPr>
      <w:r>
        <w:rPr>
          <w:b/>
          <w:sz w:val="28"/>
          <w:szCs w:val="28"/>
        </w:rPr>
        <w:t>CANADA</w:t>
      </w:r>
    </w:p>
    <w:p w:rsidR="00BA6E9C" w:rsidRPr="00AC0372" w:rsidRDefault="00BA6E9C" w:rsidP="00BA6E9C">
      <w:pPr>
        <w:jc w:val="center"/>
        <w:rPr>
          <w:b/>
          <w:sz w:val="28"/>
          <w:szCs w:val="28"/>
        </w:rPr>
      </w:pPr>
    </w:p>
    <w:p w:rsidR="00BA6E9C" w:rsidRPr="00AC0372" w:rsidRDefault="008E055D" w:rsidP="00BA6E9C">
      <w:pPr>
        <w:jc w:val="center"/>
        <w:rPr>
          <w:b/>
          <w:sz w:val="28"/>
          <w:szCs w:val="28"/>
        </w:rPr>
      </w:pPr>
      <w:r>
        <w:rPr>
          <w:b/>
          <w:sz w:val="28"/>
          <w:szCs w:val="28"/>
        </w:rPr>
        <w:t>30</w:t>
      </w:r>
      <w:r w:rsidR="00BA6E9C" w:rsidRPr="00AC0372">
        <w:rPr>
          <w:b/>
          <w:sz w:val="28"/>
          <w:szCs w:val="28"/>
        </w:rPr>
        <w:t>TH</w:t>
      </w:r>
      <w:r w:rsidR="00BA6E9C">
        <w:rPr>
          <w:b/>
          <w:sz w:val="28"/>
          <w:szCs w:val="28"/>
        </w:rPr>
        <w:t xml:space="preserve"> SESSION OF THE WORKING GROUP ON</w:t>
      </w:r>
      <w:r w:rsidR="00BA6E9C" w:rsidRPr="00AC0372">
        <w:rPr>
          <w:b/>
          <w:sz w:val="28"/>
          <w:szCs w:val="28"/>
        </w:rPr>
        <w:t xml:space="preserve"> THE UNIVERSAL PERIODIC REVIEW</w:t>
      </w:r>
    </w:p>
    <w:p w:rsidR="00BA6E9C" w:rsidRPr="0080210F" w:rsidRDefault="00BA6E9C" w:rsidP="00BA6E9C">
      <w:pPr>
        <w:pStyle w:val="BodyText"/>
        <w:spacing w:line="240" w:lineRule="atLeast"/>
        <w:ind w:hanging="540"/>
        <w:jc w:val="center"/>
        <w:rPr>
          <w:rFonts w:ascii="Times New Roman" w:hAnsi="Times New Roman"/>
          <w:b/>
          <w:bCs/>
          <w:sz w:val="24"/>
        </w:rPr>
      </w:pPr>
    </w:p>
    <w:p w:rsidR="00BA6E9C" w:rsidRPr="0080210F" w:rsidRDefault="00BA6E9C" w:rsidP="00BA6E9C">
      <w:pPr>
        <w:jc w:val="center"/>
        <w:rPr>
          <w:b/>
          <w:bCs/>
          <w:smallCaps/>
        </w:rPr>
      </w:pPr>
    </w:p>
    <w:p w:rsidR="00BA6E9C" w:rsidRPr="00C65D16" w:rsidRDefault="00BA6E9C" w:rsidP="00BA6E9C">
      <w:pPr>
        <w:jc w:val="center"/>
        <w:rPr>
          <w:b/>
          <w:sz w:val="28"/>
          <w:szCs w:val="28"/>
          <w:lang w:val="en-US"/>
        </w:rPr>
      </w:pPr>
    </w:p>
    <w:p w:rsidR="00BA6E9C" w:rsidRPr="00C65D16" w:rsidRDefault="00BA6E9C" w:rsidP="00BA6E9C">
      <w:pPr>
        <w:jc w:val="center"/>
        <w:rPr>
          <w:b/>
          <w:sz w:val="28"/>
          <w:szCs w:val="28"/>
          <w:lang w:val="en-US"/>
        </w:rPr>
      </w:pPr>
    </w:p>
    <w:p w:rsidR="00BA6E9C" w:rsidRPr="00C65D16" w:rsidRDefault="00BA6E9C" w:rsidP="00BA6E9C">
      <w:pPr>
        <w:jc w:val="center"/>
        <w:rPr>
          <w:b/>
          <w:sz w:val="28"/>
          <w:szCs w:val="28"/>
          <w:lang w:val="en-US"/>
        </w:rPr>
      </w:pPr>
    </w:p>
    <w:p w:rsidR="00BA6E9C" w:rsidRPr="00C65D16" w:rsidRDefault="00BA6E9C" w:rsidP="00BA6E9C">
      <w:pPr>
        <w:jc w:val="center"/>
        <w:rPr>
          <w:b/>
          <w:sz w:val="28"/>
          <w:szCs w:val="28"/>
          <w:lang w:val="en-US"/>
        </w:rPr>
      </w:pPr>
    </w:p>
    <w:p w:rsidR="00BA6E9C" w:rsidRPr="00C65D16" w:rsidRDefault="00BA6E9C" w:rsidP="00BA6E9C">
      <w:pPr>
        <w:jc w:val="center"/>
        <w:rPr>
          <w:b/>
          <w:sz w:val="28"/>
          <w:szCs w:val="28"/>
          <w:lang w:val="en-US"/>
        </w:rPr>
      </w:pPr>
    </w:p>
    <w:p w:rsidR="00BA6E9C" w:rsidRDefault="00BA6E9C" w:rsidP="00BA6E9C">
      <w:pPr>
        <w:jc w:val="center"/>
        <w:rPr>
          <w:b/>
          <w:sz w:val="28"/>
          <w:szCs w:val="28"/>
          <w:lang w:val="en-US"/>
        </w:rPr>
      </w:pPr>
    </w:p>
    <w:p w:rsidR="00BA6E9C" w:rsidRDefault="00BA6E9C" w:rsidP="00BA6E9C">
      <w:pPr>
        <w:jc w:val="center"/>
        <w:rPr>
          <w:b/>
          <w:sz w:val="28"/>
          <w:szCs w:val="28"/>
          <w:lang w:val="en-US"/>
        </w:rPr>
      </w:pPr>
    </w:p>
    <w:p w:rsidR="00BA6E9C" w:rsidRDefault="00BA6E9C" w:rsidP="00BA6E9C">
      <w:pPr>
        <w:jc w:val="center"/>
        <w:rPr>
          <w:b/>
          <w:sz w:val="28"/>
          <w:szCs w:val="28"/>
          <w:lang w:val="en-US"/>
        </w:rPr>
      </w:pPr>
    </w:p>
    <w:p w:rsidR="00BA6E9C" w:rsidRDefault="00BA6E9C" w:rsidP="00BA6E9C">
      <w:pPr>
        <w:jc w:val="center"/>
        <w:rPr>
          <w:b/>
          <w:sz w:val="28"/>
          <w:szCs w:val="28"/>
          <w:lang w:val="en-US"/>
        </w:rPr>
      </w:pPr>
    </w:p>
    <w:p w:rsidR="00BA6E9C" w:rsidRDefault="00BA6E9C" w:rsidP="00BA6E9C">
      <w:pPr>
        <w:jc w:val="center"/>
        <w:rPr>
          <w:b/>
          <w:sz w:val="28"/>
          <w:szCs w:val="28"/>
          <w:lang w:val="en-US"/>
        </w:rPr>
      </w:pPr>
    </w:p>
    <w:p w:rsidR="00BA6E9C" w:rsidRDefault="00BA6E9C" w:rsidP="00BA6E9C">
      <w:pPr>
        <w:jc w:val="center"/>
        <w:rPr>
          <w:b/>
          <w:sz w:val="28"/>
          <w:szCs w:val="28"/>
          <w:lang w:val="en-US"/>
        </w:rPr>
      </w:pPr>
    </w:p>
    <w:p w:rsidR="0042796E" w:rsidRPr="00C65D16" w:rsidRDefault="0042796E" w:rsidP="00BA6E9C">
      <w:pPr>
        <w:jc w:val="center"/>
        <w:rPr>
          <w:b/>
          <w:sz w:val="28"/>
          <w:szCs w:val="28"/>
          <w:lang w:val="en-US"/>
        </w:rPr>
      </w:pPr>
    </w:p>
    <w:p w:rsidR="00BA6E9C" w:rsidRPr="00C65D16" w:rsidRDefault="00BA6E9C" w:rsidP="00BA6E9C">
      <w:pPr>
        <w:jc w:val="center"/>
        <w:rPr>
          <w:b/>
          <w:sz w:val="28"/>
          <w:szCs w:val="28"/>
          <w:lang w:val="en-US"/>
        </w:rPr>
      </w:pPr>
      <w:r>
        <w:rPr>
          <w:b/>
          <w:sz w:val="28"/>
          <w:szCs w:val="28"/>
          <w:lang w:val="en-US"/>
        </w:rPr>
        <w:t>*****</w:t>
      </w:r>
    </w:p>
    <w:p w:rsidR="00BA6E9C" w:rsidRPr="00C65D16" w:rsidRDefault="00BA6E9C" w:rsidP="00BA6E9C">
      <w:pPr>
        <w:jc w:val="center"/>
        <w:rPr>
          <w:b/>
          <w:lang w:val="en-US"/>
        </w:rPr>
      </w:pPr>
      <w:r w:rsidRPr="00C65D16">
        <w:rPr>
          <w:b/>
          <w:lang w:val="en-US"/>
        </w:rPr>
        <w:t>Palais des Nations, Geneva</w:t>
      </w:r>
    </w:p>
    <w:p w:rsidR="00BA6E9C" w:rsidRPr="00C65D16" w:rsidRDefault="008E055D" w:rsidP="00BA6E9C">
      <w:pPr>
        <w:jc w:val="center"/>
        <w:rPr>
          <w:b/>
          <w:lang w:val="en-US"/>
        </w:rPr>
      </w:pPr>
      <w:r>
        <w:rPr>
          <w:b/>
          <w:lang w:val="en-US"/>
        </w:rPr>
        <w:t>11</w:t>
      </w:r>
      <w:r w:rsidRPr="008E055D">
        <w:rPr>
          <w:b/>
          <w:vertAlign w:val="superscript"/>
          <w:lang w:val="en-US"/>
        </w:rPr>
        <w:t>th</w:t>
      </w:r>
      <w:r>
        <w:rPr>
          <w:b/>
          <w:lang w:val="en-US"/>
        </w:rPr>
        <w:t xml:space="preserve"> May</w:t>
      </w:r>
      <w:r w:rsidR="00BA6E9C" w:rsidRPr="00C65D16">
        <w:rPr>
          <w:b/>
          <w:lang w:val="en-US"/>
        </w:rPr>
        <w:t xml:space="preserve"> 2018 </w:t>
      </w:r>
    </w:p>
    <w:p w:rsidR="00625EDC" w:rsidRPr="00E97A39" w:rsidRDefault="00625EDC" w:rsidP="005F67AD">
      <w:pPr>
        <w:spacing w:line="360" w:lineRule="auto"/>
        <w:jc w:val="both"/>
        <w:rPr>
          <w:rFonts w:ascii="Arial" w:hAnsi="Arial" w:cs="Arial"/>
          <w:sz w:val="27"/>
          <w:szCs w:val="27"/>
        </w:rPr>
      </w:pPr>
      <w:bookmarkStart w:id="0" w:name="_GoBack"/>
      <w:r w:rsidRPr="00E97A39">
        <w:rPr>
          <w:rFonts w:ascii="Arial" w:hAnsi="Arial" w:cs="Arial"/>
          <w:sz w:val="27"/>
          <w:szCs w:val="27"/>
        </w:rPr>
        <w:lastRenderedPageBreak/>
        <w:t xml:space="preserve">Thank you Mr. President. </w:t>
      </w:r>
    </w:p>
    <w:p w:rsidR="00625EDC" w:rsidRPr="00E97A39" w:rsidRDefault="00625EDC" w:rsidP="005F67AD">
      <w:pPr>
        <w:spacing w:line="360" w:lineRule="auto"/>
        <w:jc w:val="both"/>
        <w:rPr>
          <w:rFonts w:ascii="Arial" w:hAnsi="Arial" w:cs="Arial"/>
          <w:sz w:val="27"/>
          <w:szCs w:val="27"/>
        </w:rPr>
      </w:pPr>
    </w:p>
    <w:p w:rsidR="00625EDC" w:rsidRPr="00E97A39" w:rsidRDefault="00625EDC" w:rsidP="005F67AD">
      <w:pPr>
        <w:spacing w:line="360" w:lineRule="auto"/>
        <w:jc w:val="both"/>
        <w:rPr>
          <w:rFonts w:ascii="Arial" w:hAnsi="Arial" w:cs="Arial"/>
          <w:sz w:val="27"/>
          <w:szCs w:val="27"/>
        </w:rPr>
      </w:pPr>
      <w:r w:rsidRPr="00E97A39">
        <w:rPr>
          <w:rFonts w:ascii="Arial" w:hAnsi="Arial" w:cs="Arial"/>
          <w:sz w:val="27"/>
          <w:szCs w:val="27"/>
        </w:rPr>
        <w:t xml:space="preserve">Trinidad and Tobago thanks Canada for its detailed and easy to read report on the actions taken on both accepted and noted recommendations of the second cycle. </w:t>
      </w:r>
    </w:p>
    <w:p w:rsidR="00432162" w:rsidRPr="00E97A39" w:rsidRDefault="00432162" w:rsidP="00432162">
      <w:pPr>
        <w:spacing w:line="336" w:lineRule="auto"/>
        <w:jc w:val="both"/>
        <w:rPr>
          <w:rFonts w:ascii="Arial" w:hAnsi="Arial" w:cs="Arial"/>
          <w:sz w:val="27"/>
          <w:szCs w:val="27"/>
        </w:rPr>
      </w:pPr>
    </w:p>
    <w:p w:rsidR="00432162" w:rsidRPr="00E97A39" w:rsidRDefault="00432162" w:rsidP="00432162">
      <w:pPr>
        <w:spacing w:line="336" w:lineRule="auto"/>
        <w:jc w:val="both"/>
        <w:rPr>
          <w:rFonts w:ascii="Arial" w:hAnsi="Arial" w:cs="Arial"/>
          <w:sz w:val="27"/>
          <w:szCs w:val="27"/>
        </w:rPr>
      </w:pPr>
      <w:r w:rsidRPr="00E97A39">
        <w:rPr>
          <w:rFonts w:ascii="Arial" w:hAnsi="Arial" w:cs="Arial"/>
          <w:sz w:val="27"/>
          <w:szCs w:val="27"/>
        </w:rPr>
        <w:t>Trinidad and Tobago recommends that Canada:</w:t>
      </w:r>
    </w:p>
    <w:p w:rsidR="00E97A39" w:rsidRPr="00E97A39" w:rsidRDefault="00E97A39" w:rsidP="00E97A39">
      <w:pPr>
        <w:pStyle w:val="ListParagraph"/>
        <w:numPr>
          <w:ilvl w:val="0"/>
          <w:numId w:val="12"/>
        </w:numPr>
        <w:spacing w:line="312" w:lineRule="auto"/>
        <w:jc w:val="both"/>
        <w:rPr>
          <w:rFonts w:ascii="Arial" w:hAnsi="Arial" w:cs="Arial"/>
          <w:sz w:val="27"/>
          <w:szCs w:val="27"/>
        </w:rPr>
      </w:pPr>
      <w:r w:rsidRPr="00E97A39">
        <w:rPr>
          <w:rFonts w:ascii="Arial" w:hAnsi="Arial" w:cs="Arial"/>
          <w:sz w:val="27"/>
          <w:szCs w:val="27"/>
        </w:rPr>
        <w:t>Ensures that its Poverty Reduction Strategy includes a targeted approach to addressing socio-economic disparities and systemic discrimination experienced by African Canadians and indigenous peoples and a federal disaggregated data collection programme;</w:t>
      </w:r>
    </w:p>
    <w:p w:rsidR="00E97A39" w:rsidRPr="00E97A39" w:rsidRDefault="00E97A39" w:rsidP="00E97A39">
      <w:pPr>
        <w:pStyle w:val="ListParagraph"/>
        <w:numPr>
          <w:ilvl w:val="0"/>
          <w:numId w:val="12"/>
        </w:numPr>
        <w:spacing w:line="312" w:lineRule="auto"/>
        <w:jc w:val="both"/>
        <w:rPr>
          <w:rFonts w:ascii="Arial" w:hAnsi="Arial" w:cs="Arial"/>
          <w:sz w:val="27"/>
          <w:szCs w:val="27"/>
        </w:rPr>
      </w:pPr>
      <w:r w:rsidRPr="00E97A39">
        <w:rPr>
          <w:rFonts w:ascii="Arial" w:hAnsi="Arial" w:cs="Arial"/>
          <w:sz w:val="27"/>
          <w:szCs w:val="27"/>
        </w:rPr>
        <w:t xml:space="preserve">Ensures that temporary and migrant agricultural workers are covered under the protection of labour legislation and have access to health and employment benefits; and </w:t>
      </w:r>
    </w:p>
    <w:p w:rsidR="00E97A39" w:rsidRPr="00E97A39" w:rsidRDefault="00E97A39" w:rsidP="00E97A39">
      <w:pPr>
        <w:pStyle w:val="ListParagraph"/>
        <w:numPr>
          <w:ilvl w:val="0"/>
          <w:numId w:val="12"/>
        </w:numPr>
        <w:spacing w:line="312" w:lineRule="auto"/>
        <w:jc w:val="both"/>
        <w:rPr>
          <w:rFonts w:ascii="Arial" w:hAnsi="Arial" w:cs="Arial"/>
          <w:sz w:val="27"/>
          <w:szCs w:val="27"/>
        </w:rPr>
      </w:pPr>
      <w:r w:rsidRPr="00E97A39">
        <w:rPr>
          <w:rFonts w:ascii="Arial" w:hAnsi="Arial" w:cs="Arial"/>
          <w:sz w:val="27"/>
          <w:szCs w:val="27"/>
        </w:rPr>
        <w:t xml:space="preserve">Intensifies efforts to provide equitable access to health, education, social services, housing, quality water and food security for indigenous peoples. </w:t>
      </w:r>
    </w:p>
    <w:p w:rsidR="005F67AD" w:rsidRPr="00E97A39" w:rsidRDefault="005F67AD" w:rsidP="005F67AD">
      <w:pPr>
        <w:spacing w:line="360" w:lineRule="auto"/>
        <w:jc w:val="both"/>
        <w:rPr>
          <w:rFonts w:ascii="Arial" w:hAnsi="Arial" w:cs="Arial"/>
          <w:sz w:val="27"/>
          <w:szCs w:val="27"/>
        </w:rPr>
      </w:pPr>
    </w:p>
    <w:p w:rsidR="00625EDC" w:rsidRPr="00E97A39" w:rsidRDefault="00625EDC" w:rsidP="005F67AD">
      <w:pPr>
        <w:spacing w:line="360" w:lineRule="auto"/>
        <w:jc w:val="both"/>
        <w:rPr>
          <w:rFonts w:ascii="Arial" w:hAnsi="Arial" w:cs="Arial"/>
          <w:sz w:val="27"/>
          <w:szCs w:val="27"/>
        </w:rPr>
      </w:pPr>
      <w:r w:rsidRPr="00E97A39">
        <w:rPr>
          <w:rFonts w:ascii="Arial" w:hAnsi="Arial" w:cs="Arial"/>
          <w:sz w:val="27"/>
          <w:szCs w:val="27"/>
        </w:rPr>
        <w:t>We note the continued commitment to advancing the rights of women</w:t>
      </w:r>
      <w:r w:rsidR="005F67AD" w:rsidRPr="00E97A39">
        <w:rPr>
          <w:rFonts w:ascii="Arial" w:hAnsi="Arial" w:cs="Arial"/>
          <w:sz w:val="27"/>
          <w:szCs w:val="27"/>
        </w:rPr>
        <w:t xml:space="preserve"> and girls</w:t>
      </w:r>
      <w:r w:rsidRPr="00E97A39">
        <w:rPr>
          <w:rFonts w:ascii="Arial" w:hAnsi="Arial" w:cs="Arial"/>
          <w:sz w:val="27"/>
          <w:szCs w:val="27"/>
        </w:rPr>
        <w:t xml:space="preserve"> in having a Minister dedicated to same</w:t>
      </w:r>
      <w:r w:rsidR="005F67AD" w:rsidRPr="00E97A39">
        <w:rPr>
          <w:rFonts w:ascii="Arial" w:hAnsi="Arial" w:cs="Arial"/>
          <w:sz w:val="27"/>
          <w:szCs w:val="27"/>
        </w:rPr>
        <w:t>, its Feminist International Assistance Policy</w:t>
      </w:r>
      <w:r w:rsidRPr="00E97A39">
        <w:rPr>
          <w:rFonts w:ascii="Arial" w:hAnsi="Arial" w:cs="Arial"/>
          <w:sz w:val="27"/>
          <w:szCs w:val="27"/>
        </w:rPr>
        <w:t xml:space="preserve"> as well as the attention to children and youth through the supplementary support provided by FPT governments towards the cost of raising children, the establishment of the Prime Minister’s Youth Council and efforts to develop the first youth policy. Various initiatives to address the disadvantaged situation and rights of indigenous peoples are also noted. </w:t>
      </w:r>
    </w:p>
    <w:p w:rsidR="00625EDC" w:rsidRPr="00E97A39" w:rsidRDefault="00625EDC" w:rsidP="005F67AD">
      <w:pPr>
        <w:spacing w:line="360" w:lineRule="auto"/>
        <w:jc w:val="both"/>
        <w:rPr>
          <w:rFonts w:ascii="Arial" w:hAnsi="Arial" w:cs="Arial"/>
          <w:sz w:val="27"/>
          <w:szCs w:val="27"/>
        </w:rPr>
      </w:pPr>
    </w:p>
    <w:p w:rsidR="00625EDC" w:rsidRPr="00E97A39" w:rsidRDefault="00625EDC" w:rsidP="005F67AD">
      <w:pPr>
        <w:spacing w:line="360" w:lineRule="auto"/>
        <w:jc w:val="both"/>
        <w:rPr>
          <w:rFonts w:ascii="Arial" w:hAnsi="Arial" w:cs="Arial"/>
          <w:sz w:val="27"/>
          <w:szCs w:val="27"/>
        </w:rPr>
      </w:pPr>
      <w:r w:rsidRPr="00E97A39">
        <w:rPr>
          <w:rFonts w:ascii="Arial" w:hAnsi="Arial" w:cs="Arial"/>
          <w:sz w:val="27"/>
          <w:szCs w:val="27"/>
        </w:rPr>
        <w:t xml:space="preserve">Trinidad and Tobago wishes the delegation of Canada a successful review. </w:t>
      </w:r>
    </w:p>
    <w:p w:rsidR="00625EDC" w:rsidRPr="00E97A39" w:rsidRDefault="00625EDC" w:rsidP="005F67AD">
      <w:pPr>
        <w:spacing w:line="360" w:lineRule="auto"/>
        <w:jc w:val="both"/>
        <w:rPr>
          <w:rFonts w:ascii="Arial" w:hAnsi="Arial" w:cs="Arial"/>
          <w:sz w:val="27"/>
          <w:szCs w:val="27"/>
        </w:rPr>
      </w:pPr>
    </w:p>
    <w:p w:rsidR="00625EDC" w:rsidRPr="00E97A39" w:rsidRDefault="00625EDC" w:rsidP="005F67AD">
      <w:pPr>
        <w:spacing w:line="360" w:lineRule="auto"/>
        <w:jc w:val="both"/>
        <w:rPr>
          <w:rFonts w:ascii="Arial" w:hAnsi="Arial" w:cs="Arial"/>
          <w:sz w:val="27"/>
          <w:szCs w:val="27"/>
        </w:rPr>
      </w:pPr>
      <w:r w:rsidRPr="00E97A39">
        <w:rPr>
          <w:rFonts w:ascii="Arial" w:hAnsi="Arial" w:cs="Arial"/>
          <w:sz w:val="27"/>
          <w:szCs w:val="27"/>
        </w:rPr>
        <w:t>I thank you.</w:t>
      </w:r>
    </w:p>
    <w:bookmarkEnd w:id="0"/>
    <w:p w:rsidR="00E76F29" w:rsidRDefault="00E76F29" w:rsidP="005F67AD">
      <w:pPr>
        <w:spacing w:line="360" w:lineRule="auto"/>
        <w:jc w:val="both"/>
        <w:rPr>
          <w:rFonts w:ascii="Arial" w:hAnsi="Arial" w:cs="Arial"/>
          <w:sz w:val="28"/>
          <w:szCs w:val="28"/>
        </w:rPr>
      </w:pPr>
    </w:p>
    <w:sectPr w:rsidR="00E76F29" w:rsidSect="00BA6E9C">
      <w:headerReference w:type="default" r:id="rId9"/>
      <w:footerReference w:type="default" r:id="rId10"/>
      <w:headerReference w:type="first" r:id="rId11"/>
      <w:pgSz w:w="11906" w:h="16838"/>
      <w:pgMar w:top="1417" w:right="1417" w:bottom="1417" w:left="1417" w:header="709" w:footer="709"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930" w:rsidRDefault="00224930">
      <w:r>
        <w:separator/>
      </w:r>
    </w:p>
  </w:endnote>
  <w:endnote w:type="continuationSeparator" w:id="0">
    <w:p w:rsidR="00224930" w:rsidRDefault="0022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itannic Bold">
    <w:altName w:val="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E9C" w:rsidRDefault="00BA6E9C">
    <w:pPr>
      <w:pStyle w:val="Footer"/>
      <w:jc w:val="right"/>
    </w:pPr>
  </w:p>
  <w:p w:rsidR="00E76F29" w:rsidRDefault="00E76F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930" w:rsidRDefault="00224930">
      <w:r>
        <w:separator/>
      </w:r>
    </w:p>
  </w:footnote>
  <w:footnote w:type="continuationSeparator" w:id="0">
    <w:p w:rsidR="00224930" w:rsidRDefault="002249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F29" w:rsidRDefault="00E76F29" w:rsidP="00BA6E9C">
    <w:pPr>
      <w:pStyle w:val="Header"/>
      <w:jc w:val="right"/>
      <w:rPr>
        <w: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E9C" w:rsidRDefault="00BA6E9C" w:rsidP="00BA6E9C">
    <w:pPr>
      <w:pStyle w:val="BodyText"/>
      <w:spacing w:line="240" w:lineRule="atLeast"/>
      <w:ind w:hanging="540"/>
      <w:jc w:val="right"/>
      <w:rPr>
        <w:rFonts w:ascii="Times New Roman" w:hAnsi="Times New Roman"/>
        <w:bCs/>
        <w:i/>
        <w:sz w:val="24"/>
        <w:u w:val="single"/>
      </w:rPr>
    </w:pPr>
    <w:r>
      <w:tab/>
    </w:r>
    <w:r>
      <w:rPr>
        <w:rFonts w:ascii="Times New Roman" w:hAnsi="Times New Roman"/>
        <w:bCs/>
        <w:i/>
        <w:sz w:val="24"/>
        <w:u w:val="single"/>
      </w:rPr>
      <w:t xml:space="preserve">Please Check Against Delivery </w:t>
    </w:r>
  </w:p>
  <w:p w:rsidR="00BA6E9C" w:rsidRDefault="00BA6E9C" w:rsidP="00BA6E9C">
    <w:pPr>
      <w:pStyle w:val="Header"/>
      <w:tabs>
        <w:tab w:val="clear" w:pos="4536"/>
        <w:tab w:val="clear" w:pos="9072"/>
        <w:tab w:val="left" w:pos="805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B068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000002"/>
    <w:multiLevelType w:val="hybridMultilevel"/>
    <w:tmpl w:val="2ED28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000003"/>
    <w:multiLevelType w:val="hybridMultilevel"/>
    <w:tmpl w:val="750EF92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0000004"/>
    <w:multiLevelType w:val="hybridMultilevel"/>
    <w:tmpl w:val="6052C66E"/>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0000005"/>
    <w:multiLevelType w:val="hybridMultilevel"/>
    <w:tmpl w:val="BA68DDA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0000006"/>
    <w:multiLevelType w:val="hybridMultilevel"/>
    <w:tmpl w:val="8E3E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963F6"/>
    <w:multiLevelType w:val="hybridMultilevel"/>
    <w:tmpl w:val="739A6FD0"/>
    <w:lvl w:ilvl="0" w:tplc="FA682B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21670"/>
    <w:multiLevelType w:val="hybridMultilevel"/>
    <w:tmpl w:val="A748F5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869178A"/>
    <w:multiLevelType w:val="hybridMultilevel"/>
    <w:tmpl w:val="0060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8403F"/>
    <w:multiLevelType w:val="hybridMultilevel"/>
    <w:tmpl w:val="EA76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836EB"/>
    <w:multiLevelType w:val="hybridMultilevel"/>
    <w:tmpl w:val="8F80B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29"/>
    <w:rsid w:val="0010201E"/>
    <w:rsid w:val="00156ED2"/>
    <w:rsid w:val="001649A4"/>
    <w:rsid w:val="00194D45"/>
    <w:rsid w:val="00212B69"/>
    <w:rsid w:val="002176E3"/>
    <w:rsid w:val="00224930"/>
    <w:rsid w:val="00254332"/>
    <w:rsid w:val="002C4D1C"/>
    <w:rsid w:val="00301D09"/>
    <w:rsid w:val="003D43B5"/>
    <w:rsid w:val="003E41BB"/>
    <w:rsid w:val="0042796E"/>
    <w:rsid w:val="00432162"/>
    <w:rsid w:val="0053706B"/>
    <w:rsid w:val="00573F8C"/>
    <w:rsid w:val="00591C56"/>
    <w:rsid w:val="005B0136"/>
    <w:rsid w:val="005B1527"/>
    <w:rsid w:val="005C7FA4"/>
    <w:rsid w:val="005F67AD"/>
    <w:rsid w:val="0061589F"/>
    <w:rsid w:val="00625EDC"/>
    <w:rsid w:val="00694EC2"/>
    <w:rsid w:val="006A2361"/>
    <w:rsid w:val="007C1B5F"/>
    <w:rsid w:val="0081244A"/>
    <w:rsid w:val="008143CC"/>
    <w:rsid w:val="00896E5F"/>
    <w:rsid w:val="008E055D"/>
    <w:rsid w:val="00986438"/>
    <w:rsid w:val="009D7BCE"/>
    <w:rsid w:val="009F61E0"/>
    <w:rsid w:val="00A1263F"/>
    <w:rsid w:val="00A17238"/>
    <w:rsid w:val="00A86319"/>
    <w:rsid w:val="00AF5552"/>
    <w:rsid w:val="00B53428"/>
    <w:rsid w:val="00BA2501"/>
    <w:rsid w:val="00BA6E9C"/>
    <w:rsid w:val="00C71063"/>
    <w:rsid w:val="00CC5B35"/>
    <w:rsid w:val="00D36E4C"/>
    <w:rsid w:val="00D51B95"/>
    <w:rsid w:val="00E76F29"/>
    <w:rsid w:val="00E83B00"/>
    <w:rsid w:val="00E97A39"/>
    <w:rsid w:val="00F34CE7"/>
    <w:rsid w:val="00F94E7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CE0342F-4A5E-42C7-BF0F-45F69678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tabs>
        <w:tab w:val="center" w:pos="4694"/>
      </w:tabs>
      <w:autoSpaceDE w:val="0"/>
      <w:autoSpaceDN w:val="0"/>
      <w:adjustRightInd w:val="0"/>
      <w:spacing w:line="192" w:lineRule="auto"/>
    </w:pPr>
    <w:rPr>
      <w:rFonts w:ascii="Britannic Bold" w:hAnsi="Britannic Bold"/>
      <w:color w:val="000000"/>
      <w:sz w:val="28"/>
      <w:lang w:val="en-US"/>
    </w:rPr>
  </w:style>
  <w:style w:type="character" w:customStyle="1" w:styleId="BodyTextChar">
    <w:name w:val="Body Text Char"/>
    <w:basedOn w:val="DefaultParagraphFont"/>
    <w:link w:val="BodyText"/>
    <w:rPr>
      <w:rFonts w:ascii="Britannic Bold" w:eastAsia="Times New Roman" w:hAnsi="Britannic Bold" w:cs="Times New Roman"/>
      <w:color w:val="000000"/>
      <w:sz w:val="28"/>
      <w:szCs w:val="24"/>
      <w:lang w:val="en-US"/>
    </w:rPr>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GB"/>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GB"/>
    </w:rPr>
  </w:style>
  <w:style w:type="paragraph" w:styleId="MessageHeader">
    <w:name w:val="Message Header"/>
    <w:basedOn w:val="BodyText"/>
    <w:link w:val="MessageHeaderChar"/>
    <w:pPr>
      <w:keepLines/>
      <w:widowControl/>
      <w:tabs>
        <w:tab w:val="clear" w:pos="4694"/>
      </w:tabs>
      <w:autoSpaceDE/>
      <w:autoSpaceDN/>
      <w:adjustRightInd/>
      <w:spacing w:after="120" w:line="180" w:lineRule="atLeast"/>
      <w:ind w:left="1555" w:hanging="720"/>
    </w:pPr>
    <w:rPr>
      <w:rFonts w:ascii="Arial" w:hAnsi="Arial"/>
      <w:color w:val="auto"/>
      <w:spacing w:val="-5"/>
      <w:sz w:val="20"/>
      <w:szCs w:val="20"/>
      <w:lang w:val="en-GB"/>
    </w:rPr>
  </w:style>
  <w:style w:type="character" w:customStyle="1" w:styleId="MessageHeaderChar">
    <w:name w:val="Message Header Char"/>
    <w:basedOn w:val="DefaultParagraphFont"/>
    <w:link w:val="MessageHeader"/>
    <w:rPr>
      <w:rFonts w:ascii="Arial" w:eastAsia="Times New Roman" w:hAnsi="Arial" w:cs="Times New Roman"/>
      <w:spacing w:val="-5"/>
      <w:sz w:val="20"/>
      <w:szCs w:val="20"/>
      <w:lang w:val="en-GB"/>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233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21E11F-95B3-44A9-94C6-935245821E43}"/>
</file>

<file path=customXml/itemProps2.xml><?xml version="1.0" encoding="utf-8"?>
<ds:datastoreItem xmlns:ds="http://schemas.openxmlformats.org/officeDocument/2006/customXml" ds:itemID="{B48D6963-A82A-417E-A0CF-E34B2C1DE61B}"/>
</file>

<file path=customXml/itemProps3.xml><?xml version="1.0" encoding="utf-8"?>
<ds:datastoreItem xmlns:ds="http://schemas.openxmlformats.org/officeDocument/2006/customXml" ds:itemID="{34DBC4A9-A8F4-4736-8484-1E97DD526F2C}"/>
</file>

<file path=customXml/itemProps4.xml><?xml version="1.0" encoding="utf-8"?>
<ds:datastoreItem xmlns:ds="http://schemas.openxmlformats.org/officeDocument/2006/customXml" ds:itemID="{3C25EF59-CFA1-4E7B-BD7A-F7CD7A8FF617}"/>
</file>

<file path=docProps/app.xml><?xml version="1.0" encoding="utf-8"?>
<Properties xmlns="http://schemas.openxmlformats.org/officeDocument/2006/extended-properties" xmlns:vt="http://schemas.openxmlformats.org/officeDocument/2006/docPropsVTypes">
  <Template>Normal</Template>
  <TotalTime>4</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fonrosem</dc:creator>
  <cp:lastModifiedBy>Mariella Fonrose</cp:lastModifiedBy>
  <cp:revision>10</cp:revision>
  <cp:lastPrinted>2018-01-12T10:48:00Z</cp:lastPrinted>
  <dcterms:created xsi:type="dcterms:W3CDTF">2018-05-11T05:56:00Z</dcterms:created>
  <dcterms:modified xsi:type="dcterms:W3CDTF">2018-05-11T17:12:00Z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