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75" w:rsidRPr="001B4575" w:rsidRDefault="001B4575" w:rsidP="001B4575">
      <w:pPr>
        <w:pStyle w:val="NormalWeb"/>
        <w:tabs>
          <w:tab w:val="left" w:pos="1134"/>
        </w:tabs>
        <w:spacing w:line="276" w:lineRule="auto"/>
        <w:ind w:right="-45"/>
        <w:rPr>
          <w:rFonts w:asciiTheme="minorHAnsi" w:hAnsiTheme="minorHAnsi"/>
          <w:bCs/>
          <w:sz w:val="25"/>
          <w:szCs w:val="25"/>
        </w:rPr>
      </w:pPr>
    </w:p>
    <w:p w:rsidR="00585837" w:rsidRPr="001B4575" w:rsidRDefault="00585837" w:rsidP="001B4575">
      <w:pPr>
        <w:pStyle w:val="NormalWeb"/>
        <w:tabs>
          <w:tab w:val="left" w:pos="1134"/>
        </w:tabs>
        <w:spacing w:line="276" w:lineRule="auto"/>
        <w:ind w:right="-45"/>
        <w:jc w:val="center"/>
        <w:rPr>
          <w:rFonts w:asciiTheme="minorHAnsi" w:hAnsiTheme="minorHAnsi"/>
          <w:bCs/>
          <w:sz w:val="25"/>
          <w:szCs w:val="25"/>
        </w:rPr>
      </w:pPr>
    </w:p>
    <w:p w:rsidR="001B4575" w:rsidRDefault="001B4575" w:rsidP="001B4575">
      <w:pPr>
        <w:pStyle w:val="NormalWeb"/>
        <w:tabs>
          <w:tab w:val="left" w:pos="1134"/>
        </w:tabs>
        <w:spacing w:line="360" w:lineRule="auto"/>
        <w:ind w:right="-45"/>
        <w:jc w:val="center"/>
        <w:rPr>
          <w:rFonts w:asciiTheme="minorHAnsi" w:hAnsiTheme="minorHAnsi"/>
          <w:b/>
          <w:bCs/>
          <w:sz w:val="25"/>
          <w:szCs w:val="25"/>
        </w:rPr>
      </w:pPr>
      <w:r w:rsidRPr="001B4575">
        <w:rPr>
          <w:rFonts w:asciiTheme="minorHAnsi" w:hAnsiTheme="minorHAnsi"/>
          <w:b/>
          <w:bCs/>
          <w:sz w:val="25"/>
          <w:szCs w:val="25"/>
        </w:rPr>
        <w:t>Universal Periodic Review Working Group – 30th Session</w:t>
      </w:r>
    </w:p>
    <w:p w:rsidR="001B4575" w:rsidRDefault="001B4575" w:rsidP="001B4575">
      <w:pPr>
        <w:pStyle w:val="NormalWeb"/>
        <w:tabs>
          <w:tab w:val="left" w:pos="1134"/>
        </w:tabs>
        <w:spacing w:line="360" w:lineRule="auto"/>
        <w:ind w:right="-45"/>
        <w:jc w:val="center"/>
        <w:rPr>
          <w:rFonts w:asciiTheme="minorHAnsi" w:hAnsiTheme="minorHAnsi"/>
          <w:b/>
          <w:bCs/>
          <w:sz w:val="25"/>
          <w:szCs w:val="25"/>
        </w:rPr>
      </w:pPr>
      <w:r w:rsidRPr="001B4575">
        <w:rPr>
          <w:rFonts w:asciiTheme="minorHAnsi" w:hAnsiTheme="minorHAnsi"/>
          <w:b/>
          <w:bCs/>
          <w:sz w:val="25"/>
          <w:szCs w:val="25"/>
        </w:rPr>
        <w:t>Universal Periodic Review of Uzbekistan</w:t>
      </w:r>
    </w:p>
    <w:p w:rsidR="001B4575" w:rsidRPr="001B4575" w:rsidRDefault="001B4575" w:rsidP="001B4575">
      <w:pPr>
        <w:pStyle w:val="NormalWeb"/>
        <w:tabs>
          <w:tab w:val="left" w:pos="1134"/>
        </w:tabs>
        <w:spacing w:line="360" w:lineRule="auto"/>
        <w:ind w:right="-45"/>
        <w:jc w:val="center"/>
        <w:rPr>
          <w:rFonts w:asciiTheme="minorHAnsi" w:hAnsiTheme="minorHAnsi"/>
          <w:b/>
          <w:bCs/>
          <w:sz w:val="25"/>
          <w:szCs w:val="25"/>
        </w:rPr>
      </w:pPr>
      <w:r w:rsidRPr="001B4575">
        <w:rPr>
          <w:rFonts w:asciiTheme="minorHAnsi" w:hAnsiTheme="minorHAnsi"/>
          <w:b/>
          <w:bCs/>
          <w:sz w:val="25"/>
          <w:szCs w:val="25"/>
        </w:rPr>
        <w:t>Statement by Australia</w:t>
      </w:r>
    </w:p>
    <w:p w:rsidR="001B4575" w:rsidRPr="001B4575" w:rsidRDefault="001B4575" w:rsidP="001B4575">
      <w:pPr>
        <w:pStyle w:val="NormalWeb"/>
        <w:tabs>
          <w:tab w:val="left" w:pos="1134"/>
        </w:tabs>
        <w:ind w:right="-45"/>
        <w:rPr>
          <w:rFonts w:asciiTheme="minorHAnsi" w:hAnsiTheme="minorHAnsi"/>
          <w:bCs/>
          <w:sz w:val="25"/>
          <w:szCs w:val="25"/>
        </w:rPr>
      </w:pPr>
    </w:p>
    <w:p w:rsidR="001B4575" w:rsidRPr="00E10953" w:rsidRDefault="001B4575" w:rsidP="00E10953">
      <w:pPr>
        <w:pStyle w:val="NormalWeb"/>
        <w:tabs>
          <w:tab w:val="left" w:pos="1134"/>
        </w:tabs>
        <w:spacing w:line="276" w:lineRule="auto"/>
        <w:ind w:right="-45"/>
        <w:rPr>
          <w:rFonts w:asciiTheme="minorHAnsi" w:hAnsiTheme="minorHAnsi"/>
          <w:bCs/>
        </w:rPr>
      </w:pPr>
      <w:r w:rsidRPr="00E10953">
        <w:rPr>
          <w:rFonts w:asciiTheme="minorHAnsi" w:hAnsiTheme="minorHAnsi"/>
          <w:bCs/>
        </w:rPr>
        <w:t xml:space="preserve">Australia </w:t>
      </w:r>
      <w:r w:rsidR="000A74F4">
        <w:rPr>
          <w:rFonts w:asciiTheme="minorHAnsi" w:hAnsiTheme="minorHAnsi"/>
          <w:bCs/>
        </w:rPr>
        <w:t>welcomes</w:t>
      </w:r>
      <w:r w:rsidRPr="00E10953">
        <w:rPr>
          <w:rFonts w:asciiTheme="minorHAnsi" w:hAnsiTheme="minorHAnsi"/>
          <w:bCs/>
        </w:rPr>
        <w:t xml:space="preserve"> the demonstrated commitment of Uzbekistan to improve the protection and promotion of human rights for all people in Uzbekistan.  </w:t>
      </w:r>
    </w:p>
    <w:p w:rsidR="001B4575" w:rsidRPr="00E10953" w:rsidRDefault="001B4575" w:rsidP="00E10953">
      <w:pPr>
        <w:pStyle w:val="NormalWeb"/>
        <w:tabs>
          <w:tab w:val="left" w:pos="1134"/>
        </w:tabs>
        <w:spacing w:line="276" w:lineRule="auto"/>
        <w:ind w:right="-45"/>
        <w:rPr>
          <w:rFonts w:asciiTheme="minorHAnsi" w:hAnsiTheme="minorHAnsi"/>
          <w:bCs/>
        </w:rPr>
      </w:pPr>
    </w:p>
    <w:p w:rsidR="001B4575" w:rsidRPr="00E10953" w:rsidRDefault="001B4575" w:rsidP="00E10953">
      <w:pPr>
        <w:pStyle w:val="NormalWeb"/>
        <w:tabs>
          <w:tab w:val="left" w:pos="1134"/>
        </w:tabs>
        <w:spacing w:line="276" w:lineRule="auto"/>
        <w:ind w:right="-45"/>
        <w:rPr>
          <w:rFonts w:asciiTheme="minorHAnsi" w:hAnsiTheme="minorHAnsi"/>
          <w:b/>
          <w:bCs/>
        </w:rPr>
      </w:pPr>
      <w:r w:rsidRPr="00E10953">
        <w:rPr>
          <w:rFonts w:asciiTheme="minorHAnsi" w:hAnsiTheme="minorHAnsi"/>
          <w:bCs/>
        </w:rPr>
        <w:t xml:space="preserve">Australia commends Uzbekistan for its steps to progress the implementation of human rights and protect freedom of expression. </w:t>
      </w:r>
      <w:r w:rsidRPr="00E10953">
        <w:rPr>
          <w:rFonts w:asciiTheme="minorHAnsi" w:hAnsiTheme="minorHAnsi"/>
          <w:b/>
          <w:bCs/>
        </w:rPr>
        <w:t xml:space="preserve">Australia recommends Uzbekistan release all persons imprisoned based on their political affiliation and cease the use of criminal code Article 221 to extend prison sentences without justification. </w:t>
      </w:r>
    </w:p>
    <w:p w:rsidR="001B4575" w:rsidRPr="00E10953" w:rsidRDefault="001B4575" w:rsidP="00E10953">
      <w:pPr>
        <w:pStyle w:val="NormalWeb"/>
        <w:tabs>
          <w:tab w:val="left" w:pos="1134"/>
        </w:tabs>
        <w:spacing w:line="276" w:lineRule="auto"/>
        <w:ind w:right="-45"/>
        <w:rPr>
          <w:rFonts w:asciiTheme="minorHAnsi" w:hAnsiTheme="minorHAnsi"/>
          <w:b/>
          <w:bCs/>
        </w:rPr>
      </w:pPr>
    </w:p>
    <w:p w:rsidR="001B4575" w:rsidRPr="00E10953" w:rsidRDefault="001B4575" w:rsidP="00E10953">
      <w:pPr>
        <w:pStyle w:val="NormalWeb"/>
        <w:tabs>
          <w:tab w:val="left" w:pos="1134"/>
        </w:tabs>
        <w:spacing w:line="276" w:lineRule="auto"/>
        <w:ind w:right="-45"/>
        <w:rPr>
          <w:rFonts w:asciiTheme="minorHAnsi" w:hAnsiTheme="minorHAnsi"/>
          <w:b/>
          <w:bCs/>
        </w:rPr>
      </w:pPr>
      <w:r w:rsidRPr="00E10953">
        <w:rPr>
          <w:rFonts w:asciiTheme="minorHAnsi" w:hAnsiTheme="minorHAnsi"/>
          <w:bCs/>
        </w:rPr>
        <w:t xml:space="preserve">Australia </w:t>
      </w:r>
      <w:r w:rsidR="000A74F4">
        <w:rPr>
          <w:rFonts w:asciiTheme="minorHAnsi" w:hAnsiTheme="minorHAnsi"/>
          <w:bCs/>
        </w:rPr>
        <w:t xml:space="preserve">also </w:t>
      </w:r>
      <w:r w:rsidRPr="00E10953">
        <w:rPr>
          <w:rFonts w:asciiTheme="minorHAnsi" w:hAnsiTheme="minorHAnsi"/>
          <w:bCs/>
        </w:rPr>
        <w:t xml:space="preserve">commends Uzbekistan’s decree against forced labour. </w:t>
      </w:r>
      <w:r w:rsidRPr="00E10953">
        <w:rPr>
          <w:rFonts w:asciiTheme="minorHAnsi" w:hAnsiTheme="minorHAnsi"/>
          <w:b/>
          <w:bCs/>
        </w:rPr>
        <w:t>Australia recommends Uzbekistan fully implement government decrees banning the forced mobilisation of public sector workers and students and provide access for independent nongovernmental organisations to conduct monitoring of labour rights.</w:t>
      </w:r>
    </w:p>
    <w:p w:rsidR="001B4575" w:rsidRPr="00E10953" w:rsidRDefault="001B4575" w:rsidP="00E10953">
      <w:pPr>
        <w:pStyle w:val="NormalWeb"/>
        <w:tabs>
          <w:tab w:val="left" w:pos="1134"/>
        </w:tabs>
        <w:spacing w:line="276" w:lineRule="auto"/>
        <w:ind w:right="-45"/>
        <w:rPr>
          <w:rFonts w:asciiTheme="minorHAnsi" w:hAnsiTheme="minorHAnsi"/>
          <w:b/>
          <w:bCs/>
        </w:rPr>
      </w:pPr>
    </w:p>
    <w:p w:rsidR="001B4575" w:rsidRPr="00E10953" w:rsidRDefault="001B4575" w:rsidP="00E10953">
      <w:pPr>
        <w:pStyle w:val="NormalWeb"/>
        <w:tabs>
          <w:tab w:val="left" w:pos="1134"/>
        </w:tabs>
        <w:spacing w:line="276" w:lineRule="auto"/>
        <w:ind w:right="-45"/>
        <w:rPr>
          <w:rFonts w:asciiTheme="minorHAnsi" w:hAnsiTheme="minorHAnsi"/>
          <w:b/>
          <w:bCs/>
        </w:rPr>
      </w:pPr>
      <w:r w:rsidRPr="00E10953">
        <w:rPr>
          <w:rFonts w:asciiTheme="minorHAnsi" w:hAnsiTheme="minorHAnsi"/>
          <w:bCs/>
        </w:rPr>
        <w:t>Australia</w:t>
      </w:r>
      <w:r w:rsidRPr="00E10953">
        <w:rPr>
          <w:rFonts w:asciiTheme="minorHAnsi" w:hAnsiTheme="minorHAnsi"/>
          <w:b/>
          <w:bCs/>
        </w:rPr>
        <w:t xml:space="preserve"> </w:t>
      </w:r>
      <w:r w:rsidRPr="00E10953">
        <w:rPr>
          <w:rFonts w:asciiTheme="minorHAnsi" w:hAnsiTheme="minorHAnsi"/>
          <w:bCs/>
        </w:rPr>
        <w:t xml:space="preserve">welcomes Uzbekistan’s steps to improve the human rights of detainees and strengthen protections against ill-treatment and torture. </w:t>
      </w:r>
      <w:r w:rsidRPr="00E10953">
        <w:rPr>
          <w:rFonts w:asciiTheme="minorHAnsi" w:hAnsiTheme="minorHAnsi"/>
          <w:b/>
          <w:bCs/>
        </w:rPr>
        <w:t>Australia recommends Uzbekistan close the Jaslyk prison colony, facilitate full and unhindered access for International Committee of the Red Cross monitoring, and ratify the Optional Protocol to the Convention against Torture and other Cruel, Inhuman or Degrading Treatment or Punishment.</w:t>
      </w:r>
    </w:p>
    <w:p w:rsidR="001B4575" w:rsidRPr="001B4575" w:rsidRDefault="001B4575" w:rsidP="001B4575">
      <w:pPr>
        <w:pStyle w:val="NormalWeb"/>
        <w:tabs>
          <w:tab w:val="left" w:pos="1134"/>
        </w:tabs>
        <w:spacing w:line="360" w:lineRule="auto"/>
        <w:ind w:right="-45"/>
        <w:rPr>
          <w:rFonts w:asciiTheme="minorHAnsi" w:hAnsiTheme="minorHAnsi"/>
          <w:b/>
          <w:bCs/>
          <w:sz w:val="25"/>
          <w:szCs w:val="25"/>
        </w:rPr>
      </w:pPr>
    </w:p>
    <w:p w:rsidR="007234B9" w:rsidRPr="00E10953" w:rsidRDefault="000A74F4" w:rsidP="001B4575">
      <w:pPr>
        <w:pStyle w:val="NormalWeb"/>
        <w:tabs>
          <w:tab w:val="left" w:pos="1134"/>
        </w:tabs>
        <w:spacing w:line="360" w:lineRule="auto"/>
        <w:ind w:right="-45"/>
        <w:rPr>
          <w:rFonts w:asciiTheme="minorHAnsi" w:hAnsiTheme="minorHAnsi"/>
          <w:b/>
          <w:bCs/>
          <w:sz w:val="25"/>
          <w:szCs w:val="25"/>
        </w:rPr>
      </w:pPr>
      <w:r>
        <w:rPr>
          <w:rFonts w:asciiTheme="minorHAnsi" w:hAnsiTheme="minorHAnsi"/>
          <w:b/>
          <w:bCs/>
          <w:sz w:val="25"/>
          <w:szCs w:val="25"/>
        </w:rPr>
        <w:t>Words: 162</w:t>
      </w:r>
      <w:bookmarkStart w:id="0" w:name="_GoBack"/>
      <w:bookmarkEnd w:id="0"/>
    </w:p>
    <w:sectPr w:rsidR="007234B9" w:rsidRPr="00E10953"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F" w:rsidRDefault="007D54CF">
      <w:r>
        <w:separator/>
      </w:r>
    </w:p>
  </w:endnote>
  <w:endnote w:type="continuationSeparator" w:id="0">
    <w:p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00CC6440" wp14:editId="3C2EAC83">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644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F" w:rsidRDefault="007D54CF">
      <w:r>
        <w:separator/>
      </w:r>
    </w:p>
  </w:footnote>
  <w:footnote w:type="continuationSeparator" w:id="0">
    <w:p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B457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3255E"/>
    <w:rsid w:val="00032CBD"/>
    <w:rsid w:val="00043390"/>
    <w:rsid w:val="000535B2"/>
    <w:rsid w:val="0006767D"/>
    <w:rsid w:val="000A74F4"/>
    <w:rsid w:val="000B03C1"/>
    <w:rsid w:val="000E7AD0"/>
    <w:rsid w:val="00143A3D"/>
    <w:rsid w:val="00154D0F"/>
    <w:rsid w:val="001678FF"/>
    <w:rsid w:val="001B4575"/>
    <w:rsid w:val="001B74E4"/>
    <w:rsid w:val="001C78F9"/>
    <w:rsid w:val="001E15DC"/>
    <w:rsid w:val="001E4C81"/>
    <w:rsid w:val="00292584"/>
    <w:rsid w:val="002A4718"/>
    <w:rsid w:val="002C1AA4"/>
    <w:rsid w:val="003313B8"/>
    <w:rsid w:val="00343E42"/>
    <w:rsid w:val="00344A74"/>
    <w:rsid w:val="0039595E"/>
    <w:rsid w:val="00410496"/>
    <w:rsid w:val="004213DA"/>
    <w:rsid w:val="00451A21"/>
    <w:rsid w:val="004537B5"/>
    <w:rsid w:val="00484B9E"/>
    <w:rsid w:val="004B50C2"/>
    <w:rsid w:val="004B6613"/>
    <w:rsid w:val="004D22D3"/>
    <w:rsid w:val="004E3664"/>
    <w:rsid w:val="004F121D"/>
    <w:rsid w:val="004F5E9E"/>
    <w:rsid w:val="00536998"/>
    <w:rsid w:val="00585837"/>
    <w:rsid w:val="005C3D38"/>
    <w:rsid w:val="005F5E36"/>
    <w:rsid w:val="00612033"/>
    <w:rsid w:val="00614E2E"/>
    <w:rsid w:val="00632B78"/>
    <w:rsid w:val="006E2982"/>
    <w:rsid w:val="00710C49"/>
    <w:rsid w:val="007202AA"/>
    <w:rsid w:val="007234B9"/>
    <w:rsid w:val="00785653"/>
    <w:rsid w:val="007956D4"/>
    <w:rsid w:val="007D54CF"/>
    <w:rsid w:val="007D6FDD"/>
    <w:rsid w:val="007F5ADA"/>
    <w:rsid w:val="0082005D"/>
    <w:rsid w:val="00824BFB"/>
    <w:rsid w:val="00867168"/>
    <w:rsid w:val="00911D03"/>
    <w:rsid w:val="00913F38"/>
    <w:rsid w:val="00952ED4"/>
    <w:rsid w:val="00983E53"/>
    <w:rsid w:val="009F47CE"/>
    <w:rsid w:val="00A14383"/>
    <w:rsid w:val="00A22D11"/>
    <w:rsid w:val="00A264E6"/>
    <w:rsid w:val="00A31AD0"/>
    <w:rsid w:val="00A3515E"/>
    <w:rsid w:val="00A41F18"/>
    <w:rsid w:val="00A63BFB"/>
    <w:rsid w:val="00A669C1"/>
    <w:rsid w:val="00A97EE1"/>
    <w:rsid w:val="00AF49A7"/>
    <w:rsid w:val="00B00D69"/>
    <w:rsid w:val="00B62778"/>
    <w:rsid w:val="00B83623"/>
    <w:rsid w:val="00BB0CBD"/>
    <w:rsid w:val="00BC6FDB"/>
    <w:rsid w:val="00BE11F8"/>
    <w:rsid w:val="00C17DEB"/>
    <w:rsid w:val="00C24710"/>
    <w:rsid w:val="00C5592D"/>
    <w:rsid w:val="00C55ACD"/>
    <w:rsid w:val="00C63A5F"/>
    <w:rsid w:val="00C77D3F"/>
    <w:rsid w:val="00C946F3"/>
    <w:rsid w:val="00D03DA8"/>
    <w:rsid w:val="00D17D55"/>
    <w:rsid w:val="00D26088"/>
    <w:rsid w:val="00D64185"/>
    <w:rsid w:val="00D8666E"/>
    <w:rsid w:val="00DF0392"/>
    <w:rsid w:val="00E10953"/>
    <w:rsid w:val="00E9390A"/>
    <w:rsid w:val="00EA25C0"/>
    <w:rsid w:val="00EC7B79"/>
    <w:rsid w:val="00ED3A71"/>
    <w:rsid w:val="00EE5439"/>
    <w:rsid w:val="00EF33BC"/>
    <w:rsid w:val="00F46D07"/>
    <w:rsid w:val="00F52CA4"/>
    <w:rsid w:val="00F7561A"/>
    <w:rsid w:val="00F93327"/>
    <w:rsid w:val="00F9345F"/>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4DEA2B"/>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68532-B8EE-4682-938E-1DD7F1E5F462}"/>
</file>

<file path=customXml/itemProps2.xml><?xml version="1.0" encoding="utf-8"?>
<ds:datastoreItem xmlns:ds="http://schemas.openxmlformats.org/officeDocument/2006/customXml" ds:itemID="{8D1E4505-C325-412E-8B37-890D7A32A6A7}"/>
</file>

<file path=customXml/itemProps3.xml><?xml version="1.0" encoding="utf-8"?>
<ds:datastoreItem xmlns:ds="http://schemas.openxmlformats.org/officeDocument/2006/customXml" ds:itemID="{02DFE0DF-37EC-4C5D-9D9A-2CCD0A7524B8}"/>
</file>

<file path=customXml/itemProps4.xml><?xml version="1.0" encoding="utf-8"?>
<ds:datastoreItem xmlns:ds="http://schemas.openxmlformats.org/officeDocument/2006/customXml" ds:itemID="{94CFE810-2776-48A9-BCAB-8CCD50FF5FCA}"/>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Chapman, Alexander</cp:lastModifiedBy>
  <cp:revision>4</cp:revision>
  <cp:lastPrinted>2018-02-23T05:52:00Z</cp:lastPrinted>
  <dcterms:created xsi:type="dcterms:W3CDTF">2018-05-07T03:40:00Z</dcterms:created>
  <dcterms:modified xsi:type="dcterms:W3CDTF">2018-05-09T17:26:00Z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15e9c493-4686-4d64-bc45-f64d2b2e0257</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