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AE" w:rsidRPr="00A36C12" w:rsidRDefault="002922AE" w:rsidP="002922AE">
      <w:pPr>
        <w:pStyle w:val="NormalWeb"/>
        <w:tabs>
          <w:tab w:val="left" w:pos="1134"/>
        </w:tabs>
        <w:spacing w:line="360" w:lineRule="auto"/>
        <w:ind w:right="-45"/>
        <w:rPr>
          <w:rFonts w:ascii="Calibri Light" w:hAnsi="Calibri Light"/>
          <w:bCs/>
        </w:rPr>
      </w:pPr>
      <w:bookmarkStart w:id="0" w:name="_GoBack"/>
      <w:bookmarkEnd w:id="0"/>
    </w:p>
    <w:p w:rsidR="002922AE" w:rsidRPr="00A36C12" w:rsidRDefault="002922AE" w:rsidP="00A36C12">
      <w:pPr>
        <w:pStyle w:val="NormalWeb"/>
        <w:tabs>
          <w:tab w:val="left" w:pos="1134"/>
        </w:tabs>
        <w:spacing w:line="360" w:lineRule="auto"/>
        <w:ind w:right="-45"/>
        <w:jc w:val="center"/>
        <w:rPr>
          <w:rFonts w:asciiTheme="minorHAnsi" w:hAnsiTheme="minorHAnsi"/>
          <w:b/>
          <w:bCs/>
        </w:rPr>
      </w:pPr>
      <w:r w:rsidRPr="00A36C12">
        <w:rPr>
          <w:rFonts w:asciiTheme="minorHAnsi" w:hAnsiTheme="minorHAnsi"/>
          <w:b/>
          <w:bCs/>
        </w:rPr>
        <w:t>Universal Periodic Review Working Group – 30th Session</w:t>
      </w:r>
    </w:p>
    <w:p w:rsidR="002922AE" w:rsidRPr="00A36C12" w:rsidRDefault="002922AE" w:rsidP="002922AE">
      <w:pPr>
        <w:pStyle w:val="NormalWeb"/>
        <w:tabs>
          <w:tab w:val="left" w:pos="1134"/>
        </w:tabs>
        <w:spacing w:line="360" w:lineRule="auto"/>
        <w:ind w:right="-45"/>
        <w:jc w:val="center"/>
        <w:rPr>
          <w:rFonts w:asciiTheme="minorHAnsi" w:hAnsiTheme="minorHAnsi"/>
          <w:b/>
          <w:bCs/>
        </w:rPr>
      </w:pPr>
      <w:r w:rsidRPr="00A36C12">
        <w:rPr>
          <w:rFonts w:asciiTheme="minorHAnsi" w:hAnsiTheme="minorHAnsi"/>
          <w:b/>
          <w:bCs/>
        </w:rPr>
        <w:t>Universal Periodic Review of Turkmenistan</w:t>
      </w:r>
    </w:p>
    <w:p w:rsidR="002922AE" w:rsidRPr="00A36C12" w:rsidRDefault="002922AE" w:rsidP="002922AE">
      <w:pPr>
        <w:pStyle w:val="NormalWeb"/>
        <w:tabs>
          <w:tab w:val="left" w:pos="1134"/>
        </w:tabs>
        <w:spacing w:line="360" w:lineRule="auto"/>
        <w:ind w:right="-45"/>
        <w:jc w:val="center"/>
        <w:rPr>
          <w:rFonts w:asciiTheme="minorHAnsi" w:hAnsiTheme="minorHAnsi"/>
          <w:b/>
          <w:bCs/>
        </w:rPr>
      </w:pPr>
      <w:r w:rsidRPr="00A36C12">
        <w:rPr>
          <w:rFonts w:asciiTheme="minorHAnsi" w:hAnsiTheme="minorHAnsi"/>
          <w:b/>
          <w:bCs/>
        </w:rPr>
        <w:t>Statement by Australia</w:t>
      </w:r>
    </w:p>
    <w:p w:rsidR="002922AE" w:rsidRPr="00A36C12" w:rsidRDefault="002922AE" w:rsidP="00A36C12">
      <w:pPr>
        <w:pStyle w:val="NormalWeb"/>
        <w:tabs>
          <w:tab w:val="left" w:pos="1134"/>
        </w:tabs>
        <w:spacing w:line="276" w:lineRule="auto"/>
        <w:ind w:right="-45"/>
        <w:rPr>
          <w:rFonts w:asciiTheme="minorHAnsi" w:hAnsiTheme="minorHAnsi"/>
          <w:bCs/>
        </w:rPr>
      </w:pPr>
    </w:p>
    <w:p w:rsidR="002922AE" w:rsidRPr="00A36C12" w:rsidRDefault="002922AE" w:rsidP="00A36C12">
      <w:pPr>
        <w:pStyle w:val="NormalWeb"/>
        <w:tabs>
          <w:tab w:val="left" w:pos="1134"/>
        </w:tabs>
        <w:spacing w:line="276" w:lineRule="auto"/>
        <w:ind w:right="-45"/>
        <w:rPr>
          <w:rFonts w:asciiTheme="minorHAnsi" w:hAnsiTheme="minorHAnsi"/>
          <w:bCs/>
        </w:rPr>
      </w:pPr>
      <w:r w:rsidRPr="00A36C12">
        <w:rPr>
          <w:rFonts w:asciiTheme="minorHAnsi" w:hAnsiTheme="minorHAnsi"/>
          <w:bCs/>
        </w:rPr>
        <w:t xml:space="preserve">Australia appreciates Turkmenistan’s steps to establish a National Human Rights Institution through the office of the Ombudswoman for human rights.  We acknowledge the Ombudswoman’s participation in the March 2018 meeting of the Global Alliance of National Human Rights Institutions in Geneva. </w:t>
      </w:r>
      <w:r w:rsidRPr="00A36C12">
        <w:rPr>
          <w:rFonts w:asciiTheme="minorHAnsi" w:hAnsiTheme="minorHAnsi"/>
          <w:b/>
          <w:bCs/>
        </w:rPr>
        <w:t>Australia recommends that Turkmenistan strengthen the Ombudswoman’s office to enable its accreditation as an A-status National Human Rights Institution in line with the Paris Principles</w:t>
      </w:r>
      <w:r w:rsidRPr="00A36C12">
        <w:rPr>
          <w:rFonts w:asciiTheme="minorHAnsi" w:hAnsiTheme="minorHAnsi"/>
          <w:bCs/>
        </w:rPr>
        <w:t>.</w:t>
      </w:r>
    </w:p>
    <w:p w:rsidR="002922AE" w:rsidRPr="00A36C12" w:rsidRDefault="002922AE" w:rsidP="00A36C12">
      <w:pPr>
        <w:pStyle w:val="NormalWeb"/>
        <w:tabs>
          <w:tab w:val="left" w:pos="1134"/>
        </w:tabs>
        <w:spacing w:line="276" w:lineRule="auto"/>
        <w:ind w:right="-45"/>
        <w:rPr>
          <w:rFonts w:asciiTheme="minorHAnsi" w:hAnsiTheme="minorHAnsi"/>
          <w:bCs/>
        </w:rPr>
      </w:pPr>
    </w:p>
    <w:p w:rsidR="002922AE" w:rsidRPr="00A36C12" w:rsidRDefault="002922AE" w:rsidP="00A36C12">
      <w:pPr>
        <w:pStyle w:val="NormalWeb"/>
        <w:tabs>
          <w:tab w:val="left" w:pos="1134"/>
        </w:tabs>
        <w:spacing w:line="276" w:lineRule="auto"/>
        <w:ind w:right="-45"/>
        <w:rPr>
          <w:rFonts w:asciiTheme="minorHAnsi" w:hAnsiTheme="minorHAnsi"/>
          <w:bCs/>
        </w:rPr>
      </w:pPr>
      <w:r w:rsidRPr="00A36C12">
        <w:rPr>
          <w:rFonts w:asciiTheme="minorHAnsi" w:hAnsiTheme="minorHAnsi"/>
          <w:bCs/>
        </w:rPr>
        <w:t xml:space="preserve">Australia notes </w:t>
      </w:r>
      <w:proofErr w:type="gramStart"/>
      <w:r w:rsidRPr="00A36C12">
        <w:rPr>
          <w:rFonts w:asciiTheme="minorHAnsi" w:hAnsiTheme="minorHAnsi"/>
          <w:bCs/>
        </w:rPr>
        <w:t>Turkmenistan has ratified the International Covenant on Civil and Political Rights, but is concerned that those rights are widely restricted in practice</w:t>
      </w:r>
      <w:proofErr w:type="gramEnd"/>
      <w:r w:rsidRPr="00A36C12">
        <w:rPr>
          <w:rFonts w:asciiTheme="minorHAnsi" w:hAnsiTheme="minorHAnsi"/>
          <w:bCs/>
        </w:rPr>
        <w:t xml:space="preserve">. </w:t>
      </w:r>
      <w:r w:rsidRPr="00A36C12">
        <w:rPr>
          <w:rFonts w:asciiTheme="minorHAnsi" w:hAnsiTheme="minorHAnsi"/>
          <w:b/>
          <w:bCs/>
        </w:rPr>
        <w:t>Australia recommends Turkmenistan take positive steps to protect and promote the freedoms of expression and assembly,</w:t>
      </w:r>
      <w:r w:rsidRPr="00A36C12">
        <w:rPr>
          <w:rFonts w:asciiTheme="minorHAnsi" w:hAnsiTheme="minorHAnsi"/>
          <w:bCs/>
        </w:rPr>
        <w:t xml:space="preserve"> </w:t>
      </w:r>
      <w:r w:rsidRPr="00A36C12">
        <w:rPr>
          <w:rFonts w:asciiTheme="minorHAnsi" w:hAnsiTheme="minorHAnsi"/>
          <w:b/>
          <w:bCs/>
        </w:rPr>
        <w:t>including by: enforcing legal provisions that safeguard media pluralism and prohibit censorship; and ending forced mobilization of residents for participation in government-organised mass events.</w:t>
      </w:r>
    </w:p>
    <w:p w:rsidR="002922AE" w:rsidRPr="00A36C12" w:rsidRDefault="002922AE" w:rsidP="00A36C12">
      <w:pPr>
        <w:pStyle w:val="NormalWeb"/>
        <w:tabs>
          <w:tab w:val="left" w:pos="1134"/>
        </w:tabs>
        <w:spacing w:line="276" w:lineRule="auto"/>
        <w:ind w:right="-45"/>
        <w:rPr>
          <w:rFonts w:asciiTheme="minorHAnsi" w:hAnsiTheme="minorHAnsi"/>
          <w:bCs/>
        </w:rPr>
      </w:pPr>
    </w:p>
    <w:p w:rsidR="002922AE" w:rsidRPr="00A36C12" w:rsidRDefault="002922AE" w:rsidP="00A36C12">
      <w:pPr>
        <w:pStyle w:val="NormalWeb"/>
        <w:tabs>
          <w:tab w:val="left" w:pos="1134"/>
        </w:tabs>
        <w:spacing w:line="276" w:lineRule="auto"/>
        <w:ind w:right="-45"/>
        <w:rPr>
          <w:rFonts w:asciiTheme="minorHAnsi" w:hAnsiTheme="minorHAnsi"/>
          <w:b/>
          <w:bCs/>
        </w:rPr>
      </w:pPr>
      <w:r w:rsidRPr="00A36C12">
        <w:rPr>
          <w:rFonts w:asciiTheme="minorHAnsi" w:hAnsiTheme="minorHAnsi"/>
          <w:bCs/>
        </w:rPr>
        <w:t xml:space="preserve">Australia welcomes Turkmenistan’s introduction of a prison reform program to improve conditions for some detainees. </w:t>
      </w:r>
      <w:r w:rsidRPr="00A36C12">
        <w:rPr>
          <w:rFonts w:asciiTheme="minorHAnsi" w:hAnsiTheme="minorHAnsi"/>
          <w:b/>
          <w:bCs/>
        </w:rPr>
        <w:t>Australia recommends Turkmenistan</w:t>
      </w:r>
      <w:r w:rsidR="005303EA">
        <w:rPr>
          <w:rFonts w:asciiTheme="minorHAnsi" w:hAnsiTheme="minorHAnsi"/>
          <w:b/>
          <w:bCs/>
        </w:rPr>
        <w:t xml:space="preserve"> </w:t>
      </w:r>
      <w:r w:rsidRPr="00A36C12">
        <w:rPr>
          <w:rFonts w:asciiTheme="minorHAnsi" w:hAnsiTheme="minorHAnsi"/>
          <w:b/>
          <w:bCs/>
        </w:rPr>
        <w:t>ratify the Optional Protocol to the Convention against Torture and Other Cruel, Inhuman or Degrading Treatment or Punishment, and establish an independent mechanism for monitoring of all places of detention.</w:t>
      </w:r>
    </w:p>
    <w:p w:rsidR="002922AE" w:rsidRPr="00A36C12" w:rsidRDefault="002922AE" w:rsidP="00A669C1">
      <w:pPr>
        <w:pStyle w:val="NormalWeb"/>
        <w:tabs>
          <w:tab w:val="left" w:pos="1134"/>
        </w:tabs>
        <w:ind w:right="-45"/>
        <w:rPr>
          <w:rFonts w:asciiTheme="minorHAnsi" w:hAnsiTheme="minorHAnsi"/>
          <w:b/>
          <w:bCs/>
        </w:rPr>
      </w:pPr>
    </w:p>
    <w:p w:rsidR="002922AE" w:rsidRPr="00A36C12" w:rsidRDefault="002922AE" w:rsidP="00A669C1">
      <w:pPr>
        <w:pStyle w:val="NormalWeb"/>
        <w:tabs>
          <w:tab w:val="left" w:pos="1134"/>
        </w:tabs>
        <w:ind w:right="-45"/>
        <w:rPr>
          <w:rFonts w:asciiTheme="minorHAnsi" w:hAnsiTheme="minorHAnsi"/>
          <w:b/>
          <w:bCs/>
        </w:rPr>
      </w:pPr>
    </w:p>
    <w:p w:rsidR="002922AE" w:rsidRPr="00A36C12" w:rsidRDefault="002922AE" w:rsidP="00A669C1">
      <w:pPr>
        <w:pStyle w:val="NormalWeb"/>
        <w:tabs>
          <w:tab w:val="left" w:pos="1134"/>
        </w:tabs>
        <w:ind w:right="-45"/>
        <w:rPr>
          <w:rFonts w:asciiTheme="minorHAnsi" w:hAnsiTheme="minorHAnsi"/>
          <w:b/>
          <w:bCs/>
        </w:rPr>
      </w:pPr>
      <w:r w:rsidRPr="00A36C12">
        <w:rPr>
          <w:rFonts w:asciiTheme="minorHAnsi" w:hAnsiTheme="minorHAnsi"/>
          <w:b/>
          <w:bCs/>
        </w:rPr>
        <w:t>Words: 177</w:t>
      </w:r>
    </w:p>
    <w:sectPr w:rsidR="002922AE" w:rsidRPr="00A36C12"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CF" w:rsidRDefault="007D54CF">
      <w:r>
        <w:separator/>
      </w:r>
    </w:p>
  </w:endnote>
  <w:endnote w:type="continuationSeparator" w:id="0">
    <w:p w:rsidR="007D54CF" w:rsidRDefault="007D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E3ECD"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00CC6440" wp14:editId="3C2EAC83">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C6440"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CF" w:rsidRDefault="007D54CF">
      <w:r>
        <w:separator/>
      </w:r>
    </w:p>
  </w:footnote>
  <w:footnote w:type="continuationSeparator" w:id="0">
    <w:p w:rsidR="007D54CF" w:rsidRDefault="007D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52CA4">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612033" w:rsidP="000C74B1">
    <w:pPr>
      <w:pStyle w:val="Header"/>
      <w:ind w:left="142"/>
    </w:pPr>
    <w:r>
      <w:rPr>
        <w:noProof/>
        <w:lang w:eastAsia="en-AU"/>
      </w:rPr>
      <mc:AlternateContent>
        <mc:Choice Requires="wpg">
          <w:drawing>
            <wp:anchor distT="0" distB="0" distL="114300" distR="114300" simplePos="0" relativeHeight="251657214" behindDoc="0" locked="0" layoutInCell="1" allowOverlap="1">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3F245653"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1E9E4"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3F30"/>
    <w:rsid w:val="000101B2"/>
    <w:rsid w:val="0003255E"/>
    <w:rsid w:val="00032CBD"/>
    <w:rsid w:val="00043390"/>
    <w:rsid w:val="000535B2"/>
    <w:rsid w:val="0006767D"/>
    <w:rsid w:val="000B03C1"/>
    <w:rsid w:val="000E7AD0"/>
    <w:rsid w:val="00143A3D"/>
    <w:rsid w:val="00154D0F"/>
    <w:rsid w:val="001678FF"/>
    <w:rsid w:val="001B74E4"/>
    <w:rsid w:val="001C78F9"/>
    <w:rsid w:val="001E15DC"/>
    <w:rsid w:val="001E4C81"/>
    <w:rsid w:val="002922AE"/>
    <w:rsid w:val="00292584"/>
    <w:rsid w:val="002A4718"/>
    <w:rsid w:val="002C1AA4"/>
    <w:rsid w:val="003313B8"/>
    <w:rsid w:val="00343E42"/>
    <w:rsid w:val="00344A74"/>
    <w:rsid w:val="0039595E"/>
    <w:rsid w:val="00410496"/>
    <w:rsid w:val="004213DA"/>
    <w:rsid w:val="00451A21"/>
    <w:rsid w:val="004537B5"/>
    <w:rsid w:val="00484B9E"/>
    <w:rsid w:val="004B50C2"/>
    <w:rsid w:val="004B6613"/>
    <w:rsid w:val="004D22D3"/>
    <w:rsid w:val="004E3664"/>
    <w:rsid w:val="004F121D"/>
    <w:rsid w:val="004F5E9E"/>
    <w:rsid w:val="005303EA"/>
    <w:rsid w:val="00536998"/>
    <w:rsid w:val="00585837"/>
    <w:rsid w:val="005C3D38"/>
    <w:rsid w:val="005F5E36"/>
    <w:rsid w:val="00612033"/>
    <w:rsid w:val="00614E2E"/>
    <w:rsid w:val="00632B78"/>
    <w:rsid w:val="006E2982"/>
    <w:rsid w:val="00710C49"/>
    <w:rsid w:val="007202AA"/>
    <w:rsid w:val="007234B9"/>
    <w:rsid w:val="00785653"/>
    <w:rsid w:val="007956D4"/>
    <w:rsid w:val="007D54CF"/>
    <w:rsid w:val="007D6FDD"/>
    <w:rsid w:val="007F5ADA"/>
    <w:rsid w:val="0082005D"/>
    <w:rsid w:val="00824BFB"/>
    <w:rsid w:val="00867168"/>
    <w:rsid w:val="00911D03"/>
    <w:rsid w:val="00913F38"/>
    <w:rsid w:val="00952ED4"/>
    <w:rsid w:val="00983E53"/>
    <w:rsid w:val="009F47CE"/>
    <w:rsid w:val="00A14383"/>
    <w:rsid w:val="00A22D11"/>
    <w:rsid w:val="00A264E6"/>
    <w:rsid w:val="00A31AD0"/>
    <w:rsid w:val="00A3515E"/>
    <w:rsid w:val="00A36C12"/>
    <w:rsid w:val="00A41F18"/>
    <w:rsid w:val="00A63BFB"/>
    <w:rsid w:val="00A669C1"/>
    <w:rsid w:val="00A97EE1"/>
    <w:rsid w:val="00AF49A7"/>
    <w:rsid w:val="00B00D69"/>
    <w:rsid w:val="00B62778"/>
    <w:rsid w:val="00B83623"/>
    <w:rsid w:val="00BB0CBD"/>
    <w:rsid w:val="00BC6FDB"/>
    <w:rsid w:val="00BE11F8"/>
    <w:rsid w:val="00C17DEB"/>
    <w:rsid w:val="00C24710"/>
    <w:rsid w:val="00C5592D"/>
    <w:rsid w:val="00C55ACD"/>
    <w:rsid w:val="00C63A5F"/>
    <w:rsid w:val="00C77D3F"/>
    <w:rsid w:val="00C946F3"/>
    <w:rsid w:val="00D03DA8"/>
    <w:rsid w:val="00D17D55"/>
    <w:rsid w:val="00D26088"/>
    <w:rsid w:val="00D64185"/>
    <w:rsid w:val="00D8666E"/>
    <w:rsid w:val="00DB36E6"/>
    <w:rsid w:val="00DF0392"/>
    <w:rsid w:val="00E9390A"/>
    <w:rsid w:val="00EA25C0"/>
    <w:rsid w:val="00EC7B79"/>
    <w:rsid w:val="00ED3A71"/>
    <w:rsid w:val="00EE5439"/>
    <w:rsid w:val="00EF33BC"/>
    <w:rsid w:val="00F46D07"/>
    <w:rsid w:val="00F52CA4"/>
    <w:rsid w:val="00F7561A"/>
    <w:rsid w:val="00F93327"/>
    <w:rsid w:val="00F9345F"/>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847C1-9261-4AE3-8DD2-11A005CBFF71}"/>
</file>

<file path=customXml/itemProps2.xml><?xml version="1.0" encoding="utf-8"?>
<ds:datastoreItem xmlns:ds="http://schemas.openxmlformats.org/officeDocument/2006/customXml" ds:itemID="{AC7AD059-DDBB-40DA-9169-F53CE8016C98}"/>
</file>

<file path=customXml/itemProps3.xml><?xml version="1.0" encoding="utf-8"?>
<ds:datastoreItem xmlns:ds="http://schemas.openxmlformats.org/officeDocument/2006/customXml" ds:itemID="{A9B89C9C-058C-491B-97C3-36529E2278E2}"/>
</file>

<file path=customXml/itemProps4.xml><?xml version="1.0" encoding="utf-8"?>
<ds:datastoreItem xmlns:ds="http://schemas.openxmlformats.org/officeDocument/2006/customXml" ds:itemID="{F39D1357-8E07-41C3-8C59-63EEC85BFA1A}"/>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Emily</dc:creator>
  <cp:lastModifiedBy>Bradbury, Claire G</cp:lastModifiedBy>
  <cp:revision>2</cp:revision>
  <cp:lastPrinted>2018-02-23T05:52:00Z</cp:lastPrinted>
  <dcterms:created xsi:type="dcterms:W3CDTF">2018-05-08T09:52:00Z</dcterms:created>
  <dcterms:modified xsi:type="dcterms:W3CDTF">2018-05-08T09:52:00Z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9247acef-daca-4771-bf94-9619c41e9366</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0x01010037C5AC3008AAB14799B0F32C039A8199</vt:lpwstr>
  </property>
</Properties>
</file>