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75" w:rsidRPr="00B041B5" w:rsidRDefault="001B4575" w:rsidP="00CE6255">
      <w:pPr>
        <w:pStyle w:val="NormalWeb"/>
        <w:tabs>
          <w:tab w:val="left" w:pos="1134"/>
        </w:tabs>
        <w:ind w:left="1134" w:right="-45"/>
        <w:jc w:val="center"/>
        <w:rPr>
          <w:rFonts w:asciiTheme="minorHAnsi" w:hAnsiTheme="minorHAnsi"/>
          <w:bCs/>
          <w:sz w:val="25"/>
          <w:szCs w:val="25"/>
        </w:rPr>
      </w:pPr>
      <w:bookmarkStart w:id="0" w:name="_GoBack"/>
      <w:bookmarkEnd w:id="0"/>
    </w:p>
    <w:p w:rsidR="00B041B5" w:rsidRPr="00B041B5" w:rsidRDefault="00B041B5" w:rsidP="00CE6255">
      <w:pPr>
        <w:pStyle w:val="NormalWeb"/>
        <w:spacing w:after="120"/>
        <w:ind w:left="567" w:right="624"/>
        <w:jc w:val="center"/>
        <w:rPr>
          <w:rStyle w:val="Strong"/>
          <w:rFonts w:asciiTheme="minorHAnsi" w:hAnsiTheme="minorHAnsi"/>
        </w:rPr>
      </w:pPr>
      <w:r w:rsidRPr="00B041B5">
        <w:rPr>
          <w:rStyle w:val="Strong"/>
          <w:rFonts w:asciiTheme="minorHAnsi" w:hAnsiTheme="minorHAnsi"/>
        </w:rPr>
        <w:t>Universal Periodic Review Working Group – 30th Session</w:t>
      </w:r>
    </w:p>
    <w:p w:rsidR="00B041B5" w:rsidRPr="00B041B5" w:rsidRDefault="00B041B5" w:rsidP="00CE6255">
      <w:pPr>
        <w:pStyle w:val="NormalWeb"/>
        <w:spacing w:after="120"/>
        <w:ind w:left="567" w:right="624"/>
        <w:jc w:val="center"/>
        <w:rPr>
          <w:rStyle w:val="Strong"/>
          <w:rFonts w:asciiTheme="minorHAnsi" w:hAnsiTheme="minorHAnsi"/>
        </w:rPr>
      </w:pPr>
      <w:r w:rsidRPr="00B041B5">
        <w:rPr>
          <w:rStyle w:val="Strong"/>
          <w:rFonts w:asciiTheme="minorHAnsi" w:hAnsiTheme="minorHAnsi"/>
        </w:rPr>
        <w:t>Universal Periodic Review of Canada</w:t>
      </w:r>
    </w:p>
    <w:p w:rsidR="00B041B5" w:rsidRPr="00B041B5" w:rsidRDefault="00B041B5" w:rsidP="00CE6255">
      <w:pPr>
        <w:pStyle w:val="NormalWeb"/>
        <w:spacing w:after="120"/>
        <w:ind w:left="567" w:right="624"/>
        <w:jc w:val="center"/>
        <w:rPr>
          <w:rFonts w:asciiTheme="minorHAnsi" w:hAnsiTheme="minorHAnsi"/>
          <w:b/>
        </w:rPr>
      </w:pPr>
      <w:r w:rsidRPr="00B041B5">
        <w:rPr>
          <w:rStyle w:val="Strong"/>
          <w:rFonts w:asciiTheme="minorHAnsi" w:hAnsiTheme="minorHAnsi"/>
        </w:rPr>
        <w:t>Statement by Australia</w:t>
      </w:r>
    </w:p>
    <w:p w:rsidR="00B041B5" w:rsidRPr="00B041B5" w:rsidRDefault="00B041B5" w:rsidP="003E2176">
      <w:pPr>
        <w:spacing w:after="120" w:line="276" w:lineRule="auto"/>
        <w:rPr>
          <w:rFonts w:asciiTheme="minorHAnsi" w:hAnsiTheme="minorHAnsi"/>
        </w:rPr>
      </w:pPr>
    </w:p>
    <w:p w:rsidR="00B041B5" w:rsidRPr="00B041B5" w:rsidRDefault="00CE6255" w:rsidP="003E2176">
      <w:p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Australia commends Canada </w:t>
      </w:r>
      <w:r w:rsidR="00B041B5" w:rsidRPr="00B041B5">
        <w:rPr>
          <w:rFonts w:asciiTheme="minorHAnsi" w:hAnsiTheme="minorHAnsi"/>
        </w:rPr>
        <w:t xml:space="preserve">for its commitment to human rights at home and abroad, including through gender, minority and indigenous rights measures in the 2018 federal budget and Canada’s feminist international assistance policy. </w:t>
      </w:r>
    </w:p>
    <w:p w:rsidR="00B041B5" w:rsidRPr="00B041B5" w:rsidRDefault="00B041B5" w:rsidP="003E2176">
      <w:pPr>
        <w:spacing w:after="120" w:line="276" w:lineRule="auto"/>
        <w:rPr>
          <w:rFonts w:asciiTheme="minorHAnsi" w:hAnsiTheme="minorHAnsi"/>
          <w:color w:val="000000"/>
        </w:rPr>
      </w:pPr>
      <w:r w:rsidRPr="00B041B5">
        <w:rPr>
          <w:rFonts w:asciiTheme="minorHAnsi" w:hAnsiTheme="minorHAnsi"/>
        </w:rPr>
        <w:t xml:space="preserve">Australia applauds Canada’s </w:t>
      </w:r>
      <w:r w:rsidRPr="00B041B5">
        <w:rPr>
          <w:rFonts w:asciiTheme="minorHAnsi" w:hAnsiTheme="minorHAnsi"/>
          <w:color w:val="000000"/>
        </w:rPr>
        <w:t>formal apology to</w:t>
      </w:r>
      <w:r>
        <w:rPr>
          <w:rFonts w:asciiTheme="minorHAnsi" w:hAnsiTheme="minorHAnsi"/>
          <w:color w:val="000000"/>
        </w:rPr>
        <w:t>,</w:t>
      </w:r>
      <w:r w:rsidRPr="00B041B5">
        <w:rPr>
          <w:rFonts w:asciiTheme="minorHAnsi" w:hAnsiTheme="minorHAnsi"/>
          <w:color w:val="000000"/>
        </w:rPr>
        <w:t xml:space="preserve"> and reparations for</w:t>
      </w:r>
      <w:r>
        <w:rPr>
          <w:rFonts w:asciiTheme="minorHAnsi" w:hAnsiTheme="minorHAnsi"/>
          <w:color w:val="000000"/>
        </w:rPr>
        <w:t>,</w:t>
      </w:r>
      <w:r w:rsidRPr="00B041B5">
        <w:rPr>
          <w:rFonts w:asciiTheme="minorHAnsi" w:hAnsiTheme="minorHAnsi"/>
          <w:color w:val="000000"/>
        </w:rPr>
        <w:t xml:space="preserve"> historical discrimination against Canada’s LGBTIQ community and commends Canada for its </w:t>
      </w:r>
      <w:r w:rsidRPr="00B041B5">
        <w:rPr>
          <w:rFonts w:asciiTheme="minorHAnsi" w:hAnsiTheme="minorHAnsi"/>
        </w:rPr>
        <w:t>prospective Recognition and Implementation of Indigenous Rights Framework.</w:t>
      </w:r>
      <w:r w:rsidRPr="00B041B5">
        <w:rPr>
          <w:rFonts w:asciiTheme="minorHAnsi" w:hAnsiTheme="minorHAnsi"/>
          <w:b/>
        </w:rPr>
        <w:t xml:space="preserve"> Australia</w:t>
      </w:r>
      <w:r w:rsidRPr="00B041B5">
        <w:rPr>
          <w:rFonts w:asciiTheme="minorHAnsi" w:hAnsiTheme="minorHAnsi"/>
        </w:rPr>
        <w:t xml:space="preserve"> </w:t>
      </w:r>
      <w:r w:rsidRPr="00B041B5">
        <w:rPr>
          <w:rFonts w:asciiTheme="minorHAnsi" w:hAnsiTheme="minorHAnsi"/>
          <w:b/>
        </w:rPr>
        <w:t>recommends</w:t>
      </w:r>
      <w:r>
        <w:rPr>
          <w:rFonts w:asciiTheme="minorHAnsi" w:hAnsiTheme="minorHAnsi"/>
          <w:b/>
        </w:rPr>
        <w:t xml:space="preserve"> </w:t>
      </w:r>
      <w:r w:rsidRPr="00B041B5">
        <w:rPr>
          <w:rFonts w:asciiTheme="minorHAnsi" w:hAnsiTheme="minorHAnsi"/>
          <w:b/>
        </w:rPr>
        <w:t>Canada implement all of the “calls to action” from the Truth and Reconciliation Commission</w:t>
      </w:r>
      <w:r w:rsidRPr="00B041B5">
        <w:rPr>
          <w:rFonts w:asciiTheme="minorHAnsi" w:hAnsiTheme="minorHAnsi"/>
        </w:rPr>
        <w:t>.</w:t>
      </w:r>
    </w:p>
    <w:p w:rsidR="00B041B5" w:rsidRPr="00B041B5" w:rsidRDefault="00B041B5" w:rsidP="003E2176">
      <w:pPr>
        <w:spacing w:after="120" w:line="276" w:lineRule="auto"/>
        <w:rPr>
          <w:rFonts w:asciiTheme="minorHAnsi" w:hAnsiTheme="minorHAnsi"/>
          <w:color w:val="000000"/>
        </w:rPr>
      </w:pPr>
      <w:r w:rsidRPr="00B041B5">
        <w:rPr>
          <w:rFonts w:asciiTheme="minorHAnsi" w:hAnsiTheme="minorHAnsi"/>
        </w:rPr>
        <w:t xml:space="preserve">Australia welcomed Canada’s commitment to accede to the Optional Protocol to the Convention </w:t>
      </w:r>
      <w:proofErr w:type="gramStart"/>
      <w:r w:rsidRPr="00B041B5">
        <w:rPr>
          <w:rFonts w:asciiTheme="minorHAnsi" w:hAnsiTheme="minorHAnsi"/>
        </w:rPr>
        <w:t>Against</w:t>
      </w:r>
      <w:proofErr w:type="gramEnd"/>
      <w:r w:rsidRPr="00B041B5">
        <w:rPr>
          <w:rFonts w:asciiTheme="minorHAnsi" w:hAnsiTheme="minorHAnsi"/>
        </w:rPr>
        <w:t xml:space="preserve"> Torture (OPCAT) and the Arms Trade Treaty (ATT)</w:t>
      </w:r>
      <w:r>
        <w:rPr>
          <w:rFonts w:asciiTheme="minorHAnsi" w:hAnsiTheme="minorHAnsi"/>
        </w:rPr>
        <w:t xml:space="preserve">. </w:t>
      </w:r>
      <w:r w:rsidRPr="00B041B5">
        <w:rPr>
          <w:rFonts w:asciiTheme="minorHAnsi" w:hAnsiTheme="minorHAnsi"/>
          <w:b/>
        </w:rPr>
        <w:t xml:space="preserve">Australia recommends </w:t>
      </w:r>
      <w:r>
        <w:rPr>
          <w:rFonts w:asciiTheme="minorHAnsi" w:hAnsiTheme="minorHAnsi"/>
          <w:b/>
        </w:rPr>
        <w:t>Canada</w:t>
      </w:r>
      <w:r w:rsidRPr="00B041B5">
        <w:rPr>
          <w:rFonts w:asciiTheme="minorHAnsi" w:hAnsiTheme="minorHAnsi"/>
          <w:b/>
        </w:rPr>
        <w:t xml:space="preserve"> expedite its accession to </w:t>
      </w:r>
      <w:r>
        <w:rPr>
          <w:rFonts w:asciiTheme="minorHAnsi" w:hAnsiTheme="minorHAnsi"/>
          <w:b/>
        </w:rPr>
        <w:t xml:space="preserve">the OPCAT and the ATT. </w:t>
      </w:r>
    </w:p>
    <w:p w:rsidR="00B041B5" w:rsidRPr="00B041B5" w:rsidRDefault="00B041B5" w:rsidP="003E2176">
      <w:pPr>
        <w:spacing w:after="120" w:line="276" w:lineRule="auto"/>
        <w:rPr>
          <w:rFonts w:asciiTheme="minorHAnsi" w:hAnsiTheme="minorHAnsi"/>
          <w:b/>
        </w:rPr>
      </w:pPr>
      <w:r w:rsidRPr="00B041B5">
        <w:rPr>
          <w:rFonts w:asciiTheme="minorHAnsi" w:hAnsiTheme="minorHAnsi"/>
        </w:rPr>
        <w:t>Australia commends Canada for taking action on ending gender-based violence (GBV) with its Federal Strategy on GBV</w:t>
      </w:r>
      <w:r>
        <w:rPr>
          <w:rFonts w:asciiTheme="minorHAnsi" w:hAnsiTheme="minorHAnsi"/>
        </w:rPr>
        <w:t>, but</w:t>
      </w:r>
      <w:r w:rsidRPr="00B041B5">
        <w:rPr>
          <w:rFonts w:asciiTheme="minorHAnsi" w:hAnsiTheme="minorHAnsi"/>
        </w:rPr>
        <w:t xml:space="preserve"> not</w:t>
      </w:r>
      <w:r>
        <w:rPr>
          <w:rFonts w:asciiTheme="minorHAnsi" w:hAnsiTheme="minorHAnsi"/>
        </w:rPr>
        <w:t xml:space="preserve">es it lacks provincial coverage. </w:t>
      </w:r>
      <w:r w:rsidRPr="00B041B5">
        <w:rPr>
          <w:rFonts w:asciiTheme="minorHAnsi" w:hAnsiTheme="minorHAnsi"/>
          <w:b/>
        </w:rPr>
        <w:t xml:space="preserve">Australia recommends Canada convert the </w:t>
      </w:r>
      <w:r>
        <w:rPr>
          <w:rFonts w:asciiTheme="minorHAnsi" w:hAnsiTheme="minorHAnsi"/>
          <w:b/>
        </w:rPr>
        <w:t xml:space="preserve">Federal </w:t>
      </w:r>
      <w:r w:rsidRPr="00B041B5">
        <w:rPr>
          <w:rFonts w:asciiTheme="minorHAnsi" w:hAnsiTheme="minorHAnsi"/>
          <w:b/>
        </w:rPr>
        <w:t>Strategy</w:t>
      </w:r>
      <w:r>
        <w:rPr>
          <w:rFonts w:asciiTheme="minorHAnsi" w:hAnsiTheme="minorHAnsi"/>
          <w:b/>
        </w:rPr>
        <w:t xml:space="preserve"> on gender-based violence</w:t>
      </w:r>
      <w:r w:rsidRPr="00B041B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in</w:t>
      </w:r>
      <w:r w:rsidRPr="00B041B5">
        <w:rPr>
          <w:rFonts w:asciiTheme="minorHAnsi" w:hAnsiTheme="minorHAnsi"/>
          <w:b/>
        </w:rPr>
        <w:t>to a National Action Plan.</w:t>
      </w:r>
    </w:p>
    <w:p w:rsidR="00B041B5" w:rsidRPr="00B041B5" w:rsidRDefault="00B041B5" w:rsidP="003E2176">
      <w:pPr>
        <w:spacing w:after="120" w:line="276" w:lineRule="auto"/>
        <w:rPr>
          <w:rFonts w:asciiTheme="minorHAnsi" w:hAnsiTheme="minorHAnsi"/>
          <w:b/>
          <w:bCs/>
        </w:rPr>
      </w:pPr>
      <w:r w:rsidRPr="00B041B5">
        <w:rPr>
          <w:rFonts w:asciiTheme="minorHAnsi" w:hAnsiTheme="minorHAnsi"/>
        </w:rPr>
        <w:t>Australia notes that inadequate disaggregated data is hampering the National Enquiry into Murdered</w:t>
      </w:r>
      <w:r>
        <w:rPr>
          <w:rFonts w:asciiTheme="minorHAnsi" w:hAnsiTheme="minorHAnsi"/>
        </w:rPr>
        <w:t xml:space="preserve"> and Missing Indigenous Girls. </w:t>
      </w:r>
      <w:r w:rsidRPr="00B041B5">
        <w:rPr>
          <w:rFonts w:asciiTheme="minorHAnsi" w:hAnsiTheme="minorHAnsi"/>
          <w:b/>
        </w:rPr>
        <w:t>Australia</w:t>
      </w:r>
      <w:r>
        <w:rPr>
          <w:rFonts w:asciiTheme="minorHAnsi" w:hAnsiTheme="minorHAnsi"/>
        </w:rPr>
        <w:t xml:space="preserve"> </w:t>
      </w:r>
      <w:r w:rsidRPr="00B041B5">
        <w:rPr>
          <w:rFonts w:asciiTheme="minorHAnsi" w:hAnsiTheme="minorHAnsi"/>
          <w:b/>
        </w:rPr>
        <w:t>recommends Canada ensure relevant authorities record the Aboriginality of victims of gender-based violence</w:t>
      </w:r>
      <w:r w:rsidRPr="00B041B5">
        <w:rPr>
          <w:rFonts w:asciiTheme="minorHAnsi" w:hAnsiTheme="minorHAnsi"/>
        </w:rPr>
        <w:t>.</w:t>
      </w:r>
    </w:p>
    <w:p w:rsidR="00B041B5" w:rsidRDefault="00B041B5" w:rsidP="00B041B5">
      <w:pPr>
        <w:pStyle w:val="NormalWeb"/>
        <w:tabs>
          <w:tab w:val="left" w:pos="1134"/>
        </w:tabs>
        <w:spacing w:line="276" w:lineRule="auto"/>
        <w:ind w:right="-45"/>
        <w:rPr>
          <w:rFonts w:asciiTheme="minorHAnsi" w:hAnsiTheme="minorHAnsi"/>
          <w:b/>
          <w:bCs/>
        </w:rPr>
      </w:pPr>
    </w:p>
    <w:p w:rsidR="00B041B5" w:rsidRDefault="00B041B5" w:rsidP="00B041B5">
      <w:pPr>
        <w:pStyle w:val="NormalWeb"/>
        <w:tabs>
          <w:tab w:val="left" w:pos="1134"/>
        </w:tabs>
        <w:spacing w:line="276" w:lineRule="auto"/>
        <w:ind w:right="-45"/>
        <w:rPr>
          <w:rFonts w:asciiTheme="minorHAnsi" w:hAnsiTheme="minorHAnsi"/>
          <w:b/>
          <w:bCs/>
        </w:rPr>
      </w:pPr>
    </w:p>
    <w:p w:rsidR="007234B9" w:rsidRPr="00B041B5" w:rsidRDefault="00B041B5" w:rsidP="00B041B5">
      <w:pPr>
        <w:pStyle w:val="NormalWeb"/>
        <w:tabs>
          <w:tab w:val="left" w:pos="1134"/>
        </w:tabs>
        <w:spacing w:line="276" w:lineRule="auto"/>
        <w:ind w:right="-45"/>
        <w:rPr>
          <w:rFonts w:asciiTheme="minorHAnsi" w:hAnsiTheme="minorHAnsi"/>
          <w:b/>
          <w:bCs/>
        </w:rPr>
      </w:pPr>
      <w:r w:rsidRPr="00B041B5">
        <w:rPr>
          <w:rFonts w:asciiTheme="minorHAnsi" w:hAnsiTheme="minorHAnsi"/>
          <w:b/>
          <w:bCs/>
        </w:rPr>
        <w:t>Words: 179</w:t>
      </w:r>
    </w:p>
    <w:sectPr w:rsidR="007234B9" w:rsidRPr="00B041B5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CF" w:rsidRDefault="007D54CF">
      <w:r>
        <w:separator/>
      </w:r>
    </w:p>
  </w:endnote>
  <w:endnote w:type="continuationSeparator" w:id="0">
    <w:p w:rsidR="007D54CF" w:rsidRDefault="007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E3EC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00CC6440" wp14:editId="3C2EAC83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CF" w:rsidRDefault="007D54CF">
      <w:r>
        <w:separator/>
      </w:r>
    </w:p>
  </w:footnote>
  <w:footnote w:type="continuationSeparator" w:id="0">
    <w:p w:rsidR="007D54CF" w:rsidRDefault="007D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457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456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E9E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535B2"/>
    <w:rsid w:val="0006767D"/>
    <w:rsid w:val="000B03C1"/>
    <w:rsid w:val="000E7AD0"/>
    <w:rsid w:val="00143A3D"/>
    <w:rsid w:val="00154D0F"/>
    <w:rsid w:val="001678FF"/>
    <w:rsid w:val="001B4575"/>
    <w:rsid w:val="001B74E4"/>
    <w:rsid w:val="001C30B0"/>
    <w:rsid w:val="001C78F9"/>
    <w:rsid w:val="001E15DC"/>
    <w:rsid w:val="001E4C81"/>
    <w:rsid w:val="00292584"/>
    <w:rsid w:val="002A4718"/>
    <w:rsid w:val="002B40DB"/>
    <w:rsid w:val="002C1AA4"/>
    <w:rsid w:val="003313B8"/>
    <w:rsid w:val="00343E42"/>
    <w:rsid w:val="00344A74"/>
    <w:rsid w:val="0039595E"/>
    <w:rsid w:val="003E2176"/>
    <w:rsid w:val="00410496"/>
    <w:rsid w:val="004213DA"/>
    <w:rsid w:val="00451A21"/>
    <w:rsid w:val="004537B5"/>
    <w:rsid w:val="00484B9E"/>
    <w:rsid w:val="004B50C2"/>
    <w:rsid w:val="004B6613"/>
    <w:rsid w:val="004D22D3"/>
    <w:rsid w:val="004E3664"/>
    <w:rsid w:val="004F121D"/>
    <w:rsid w:val="004F5E9E"/>
    <w:rsid w:val="00536998"/>
    <w:rsid w:val="00585837"/>
    <w:rsid w:val="005C3D38"/>
    <w:rsid w:val="005F5E36"/>
    <w:rsid w:val="00612033"/>
    <w:rsid w:val="00614E2E"/>
    <w:rsid w:val="00632B78"/>
    <w:rsid w:val="006E2982"/>
    <w:rsid w:val="00710C49"/>
    <w:rsid w:val="007202AA"/>
    <w:rsid w:val="007234B9"/>
    <w:rsid w:val="007565A0"/>
    <w:rsid w:val="00785653"/>
    <w:rsid w:val="007956D4"/>
    <w:rsid w:val="007D54CF"/>
    <w:rsid w:val="007D6FDD"/>
    <w:rsid w:val="007F5ADA"/>
    <w:rsid w:val="0082005D"/>
    <w:rsid w:val="00824BFB"/>
    <w:rsid w:val="00867168"/>
    <w:rsid w:val="00911D03"/>
    <w:rsid w:val="00913F38"/>
    <w:rsid w:val="00952ED4"/>
    <w:rsid w:val="00983E53"/>
    <w:rsid w:val="009F47CE"/>
    <w:rsid w:val="00A14383"/>
    <w:rsid w:val="00A22D11"/>
    <w:rsid w:val="00A264E6"/>
    <w:rsid w:val="00A31AD0"/>
    <w:rsid w:val="00A3515E"/>
    <w:rsid w:val="00A41F18"/>
    <w:rsid w:val="00A63BFB"/>
    <w:rsid w:val="00A669C1"/>
    <w:rsid w:val="00A97EE1"/>
    <w:rsid w:val="00AF49A7"/>
    <w:rsid w:val="00B00D69"/>
    <w:rsid w:val="00B041B5"/>
    <w:rsid w:val="00B62778"/>
    <w:rsid w:val="00B83623"/>
    <w:rsid w:val="00BB0CBD"/>
    <w:rsid w:val="00BC6FDB"/>
    <w:rsid w:val="00BE11F8"/>
    <w:rsid w:val="00C17DEB"/>
    <w:rsid w:val="00C24710"/>
    <w:rsid w:val="00C5592D"/>
    <w:rsid w:val="00C55ACD"/>
    <w:rsid w:val="00C63A5F"/>
    <w:rsid w:val="00C77D3F"/>
    <w:rsid w:val="00C946F3"/>
    <w:rsid w:val="00CE6255"/>
    <w:rsid w:val="00D03DA8"/>
    <w:rsid w:val="00D17D55"/>
    <w:rsid w:val="00D26088"/>
    <w:rsid w:val="00D64185"/>
    <w:rsid w:val="00D8666E"/>
    <w:rsid w:val="00DF0392"/>
    <w:rsid w:val="00E10953"/>
    <w:rsid w:val="00E32FDC"/>
    <w:rsid w:val="00E9390A"/>
    <w:rsid w:val="00EA25C0"/>
    <w:rsid w:val="00EC7B79"/>
    <w:rsid w:val="00ED3A71"/>
    <w:rsid w:val="00EE5439"/>
    <w:rsid w:val="00EF33BC"/>
    <w:rsid w:val="00F46D07"/>
    <w:rsid w:val="00F52CA4"/>
    <w:rsid w:val="00F7561A"/>
    <w:rsid w:val="00F93327"/>
    <w:rsid w:val="00F9345F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E852F-0A7C-4B80-A1E2-456B3171BC22}"/>
</file>

<file path=customXml/itemProps2.xml><?xml version="1.0" encoding="utf-8"?>
<ds:datastoreItem xmlns:ds="http://schemas.openxmlformats.org/officeDocument/2006/customXml" ds:itemID="{2210E944-B4F5-4601-B76A-3610ABAC0FCE}"/>
</file>

<file path=customXml/itemProps3.xml><?xml version="1.0" encoding="utf-8"?>
<ds:datastoreItem xmlns:ds="http://schemas.openxmlformats.org/officeDocument/2006/customXml" ds:itemID="{26FB202F-2114-46DB-9B77-A35D7BA999FB}"/>
</file>

<file path=customXml/itemProps4.xml><?xml version="1.0" encoding="utf-8"?>
<ds:datastoreItem xmlns:ds="http://schemas.openxmlformats.org/officeDocument/2006/customXml" ds:itemID="{72D6B5E7-76A1-4C36-A6EB-D41BAC626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Bradbury, Claire G</cp:lastModifiedBy>
  <cp:revision>2</cp:revision>
  <cp:lastPrinted>2018-05-10T04:22:00Z</cp:lastPrinted>
  <dcterms:created xsi:type="dcterms:W3CDTF">2018-05-10T12:03:00Z</dcterms:created>
  <dcterms:modified xsi:type="dcterms:W3CDTF">2018-05-10T12:03:00Z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53d35fb0-9fcc-4d01-9c96-f3f51286a2f3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