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E8E3" w14:textId="77777777" w:rsidR="005B47F4" w:rsidRDefault="005B47F4" w:rsidP="00880411">
      <w:pPr>
        <w:pStyle w:val="NormalWeb"/>
        <w:spacing w:after="120" w:line="276" w:lineRule="auto"/>
        <w:ind w:left="720" w:right="624"/>
        <w:jc w:val="center"/>
        <w:rPr>
          <w:rStyle w:val="Strong"/>
          <w:rFonts w:asciiTheme="minorHAnsi" w:hAnsiTheme="minorHAnsi"/>
        </w:rPr>
      </w:pPr>
    </w:p>
    <w:p w14:paraId="775A3271" w14:textId="79C559EE" w:rsidR="005B47F4" w:rsidRPr="005B47F4" w:rsidRDefault="005B47F4" w:rsidP="00880411">
      <w:pPr>
        <w:pStyle w:val="NormalWeb"/>
        <w:spacing w:after="120" w:line="276" w:lineRule="auto"/>
        <w:ind w:left="720" w:right="624"/>
        <w:jc w:val="center"/>
        <w:rPr>
          <w:rStyle w:val="Strong"/>
          <w:rFonts w:asciiTheme="minorHAnsi" w:hAnsiTheme="minorHAnsi"/>
        </w:rPr>
      </w:pPr>
      <w:r w:rsidRPr="005B47F4">
        <w:rPr>
          <w:rStyle w:val="Strong"/>
          <w:rFonts w:asciiTheme="minorHAnsi" w:hAnsiTheme="minorHAnsi"/>
        </w:rPr>
        <w:t>Universal Periodic Review Working Group – 30th Session</w:t>
      </w:r>
    </w:p>
    <w:p w14:paraId="5A4E0792" w14:textId="77777777" w:rsidR="005B47F4" w:rsidRPr="005B47F4" w:rsidRDefault="005B47F4" w:rsidP="00880411">
      <w:pPr>
        <w:pStyle w:val="NormalWeb"/>
        <w:spacing w:after="120" w:line="276" w:lineRule="auto"/>
        <w:ind w:left="720" w:right="624"/>
        <w:jc w:val="center"/>
        <w:rPr>
          <w:rStyle w:val="Strong"/>
          <w:rFonts w:asciiTheme="minorHAnsi" w:hAnsiTheme="minorHAnsi"/>
        </w:rPr>
      </w:pPr>
      <w:r w:rsidRPr="005B47F4">
        <w:rPr>
          <w:rStyle w:val="Strong"/>
          <w:rFonts w:asciiTheme="minorHAnsi" w:hAnsiTheme="minorHAnsi"/>
        </w:rPr>
        <w:t>Universal Periodic Review of Burkina Faso</w:t>
      </w:r>
    </w:p>
    <w:p w14:paraId="59639F95" w14:textId="446F6A46" w:rsidR="005B47F4" w:rsidRDefault="005B47F4" w:rsidP="00880411">
      <w:pPr>
        <w:pStyle w:val="NormalWeb"/>
        <w:spacing w:after="120" w:line="276" w:lineRule="auto"/>
        <w:ind w:left="720" w:right="624"/>
        <w:jc w:val="center"/>
        <w:rPr>
          <w:rStyle w:val="Strong"/>
          <w:rFonts w:asciiTheme="minorHAnsi" w:hAnsiTheme="minorHAnsi"/>
        </w:rPr>
      </w:pPr>
      <w:r w:rsidRPr="005B47F4">
        <w:rPr>
          <w:rStyle w:val="Strong"/>
          <w:rFonts w:asciiTheme="minorHAnsi" w:hAnsiTheme="minorHAnsi"/>
        </w:rPr>
        <w:t>Statement by Australia</w:t>
      </w:r>
    </w:p>
    <w:p w14:paraId="014CC8F0" w14:textId="77777777" w:rsidR="005B47F4" w:rsidRPr="005B47F4" w:rsidRDefault="005B47F4" w:rsidP="005B47F4">
      <w:pPr>
        <w:pStyle w:val="NormalWeb"/>
        <w:spacing w:after="120"/>
        <w:ind w:left="720" w:right="624"/>
        <w:jc w:val="center"/>
        <w:rPr>
          <w:rFonts w:asciiTheme="minorHAnsi" w:hAnsiTheme="minorHAnsi"/>
          <w:b/>
        </w:rPr>
      </w:pPr>
    </w:p>
    <w:p w14:paraId="5DEDFC0E" w14:textId="77777777" w:rsidR="005B47F4" w:rsidRPr="005B47F4" w:rsidRDefault="005B47F4" w:rsidP="00880411">
      <w:pPr>
        <w:spacing w:before="240" w:after="120" w:line="276" w:lineRule="auto"/>
        <w:jc w:val="both"/>
        <w:rPr>
          <w:rFonts w:asciiTheme="minorHAnsi" w:hAnsiTheme="minorHAnsi"/>
        </w:rPr>
      </w:pPr>
      <w:r w:rsidRPr="005B47F4">
        <w:rPr>
          <w:rFonts w:asciiTheme="minorHAnsi" w:hAnsiTheme="minorHAnsi"/>
        </w:rPr>
        <w:t xml:space="preserve">Australia commends Burkina Faso on the development of the National Strategy to Ending Child Marriage in Burkina Faso 2016-2025. </w:t>
      </w:r>
      <w:r w:rsidRPr="005B47F4">
        <w:rPr>
          <w:rFonts w:asciiTheme="minorHAnsi" w:hAnsiTheme="minorHAnsi"/>
          <w:b/>
        </w:rPr>
        <w:t xml:space="preserve">Australia recommends Burkina Faso’s Code of Persons and Family </w:t>
      </w:r>
      <w:proofErr w:type="gramStart"/>
      <w:r w:rsidRPr="005B47F4">
        <w:rPr>
          <w:rFonts w:asciiTheme="minorHAnsi" w:hAnsiTheme="minorHAnsi"/>
          <w:b/>
        </w:rPr>
        <w:t>is amended</w:t>
      </w:r>
      <w:proofErr w:type="gramEnd"/>
      <w:r w:rsidRPr="005B47F4">
        <w:rPr>
          <w:rFonts w:asciiTheme="minorHAnsi" w:hAnsiTheme="minorHAnsi"/>
          <w:b/>
        </w:rPr>
        <w:t xml:space="preserve"> to guarantee that the same minimum age for marriage of 18 applies to men and women and includes all types of marriages, including religious and traditional marriages. </w:t>
      </w:r>
      <w:r w:rsidRPr="005B47F4">
        <w:rPr>
          <w:rFonts w:asciiTheme="minorHAnsi" w:hAnsiTheme="minorHAnsi"/>
        </w:rPr>
        <w:t xml:space="preserve">This would protect the rights of girls and support the achievement of Sustainable Development Goal 5. </w:t>
      </w:r>
      <w:bookmarkStart w:id="0" w:name="_GoBack"/>
      <w:bookmarkEnd w:id="0"/>
    </w:p>
    <w:p w14:paraId="0DEB98A1" w14:textId="77777777" w:rsidR="005B47F4" w:rsidRPr="005B47F4" w:rsidRDefault="005B47F4" w:rsidP="00880411">
      <w:pPr>
        <w:spacing w:before="240" w:after="120" w:line="276" w:lineRule="auto"/>
        <w:jc w:val="both"/>
        <w:rPr>
          <w:rFonts w:asciiTheme="minorHAnsi" w:hAnsiTheme="minorHAnsi"/>
          <w:b/>
        </w:rPr>
      </w:pPr>
      <w:r w:rsidRPr="005B47F4">
        <w:rPr>
          <w:rFonts w:asciiTheme="minorHAnsi" w:hAnsiTheme="minorHAnsi"/>
        </w:rPr>
        <w:t xml:space="preserve">Australia commends Burkina Faso’s efforts to improve access to health services, including services for women and girls, through the Access to Healthcare Services Programme. </w:t>
      </w:r>
      <w:r w:rsidRPr="005B47F4">
        <w:rPr>
          <w:rFonts w:asciiTheme="minorHAnsi" w:hAnsiTheme="minorHAnsi"/>
          <w:b/>
        </w:rPr>
        <w:t xml:space="preserve">Australia recommends Burkina Faso continue to strengthen efforts to improve access to healthcare for all, including access to sexual and reproductive health services. </w:t>
      </w:r>
    </w:p>
    <w:p w14:paraId="224B0F6A" w14:textId="77777777" w:rsidR="005B47F4" w:rsidRPr="005B47F4" w:rsidRDefault="005B47F4" w:rsidP="00880411">
      <w:pPr>
        <w:spacing w:before="240" w:after="120" w:line="276" w:lineRule="auto"/>
        <w:jc w:val="both"/>
        <w:rPr>
          <w:rFonts w:asciiTheme="minorHAnsi" w:hAnsiTheme="minorHAnsi"/>
        </w:rPr>
      </w:pPr>
      <w:r w:rsidRPr="005B47F4">
        <w:rPr>
          <w:rFonts w:asciiTheme="minorHAnsi" w:hAnsiTheme="minorHAnsi"/>
        </w:rPr>
        <w:t xml:space="preserve">Australia is also concerned that the rate of female genital mutilation (FGM) remains high in Burkina Faso despite the practice </w:t>
      </w:r>
      <w:proofErr w:type="gramStart"/>
      <w:r w:rsidRPr="005B47F4">
        <w:rPr>
          <w:rFonts w:asciiTheme="minorHAnsi" w:hAnsiTheme="minorHAnsi"/>
        </w:rPr>
        <w:t>being criminalised</w:t>
      </w:r>
      <w:proofErr w:type="gramEnd"/>
      <w:r w:rsidRPr="005B47F4">
        <w:rPr>
          <w:rFonts w:asciiTheme="minorHAnsi" w:hAnsiTheme="minorHAnsi"/>
        </w:rPr>
        <w:t xml:space="preserve">. </w:t>
      </w:r>
      <w:r w:rsidRPr="005B47F4">
        <w:rPr>
          <w:rFonts w:asciiTheme="minorHAnsi" w:hAnsiTheme="minorHAnsi"/>
          <w:b/>
        </w:rPr>
        <w:t xml:space="preserve">Australia recommends Burkina Faso ensure that people who continue to practice FGM </w:t>
      </w:r>
      <w:proofErr w:type="gramStart"/>
      <w:r w:rsidRPr="005B47F4">
        <w:rPr>
          <w:rFonts w:asciiTheme="minorHAnsi" w:hAnsiTheme="minorHAnsi"/>
          <w:b/>
        </w:rPr>
        <w:t>are held</w:t>
      </w:r>
      <w:proofErr w:type="gramEnd"/>
      <w:r w:rsidRPr="005B47F4">
        <w:rPr>
          <w:rFonts w:asciiTheme="minorHAnsi" w:hAnsiTheme="minorHAnsi"/>
          <w:b/>
        </w:rPr>
        <w:t xml:space="preserve"> accountable and prosecuted as a means to deter perpetrators</w:t>
      </w:r>
      <w:r w:rsidRPr="005B47F4">
        <w:rPr>
          <w:rFonts w:asciiTheme="minorHAnsi" w:hAnsiTheme="minorHAnsi"/>
        </w:rPr>
        <w:t>.</w:t>
      </w:r>
    </w:p>
    <w:p w14:paraId="349B0E74" w14:textId="77777777" w:rsidR="005B47F4" w:rsidRPr="005B47F4" w:rsidRDefault="005B47F4" w:rsidP="00880411">
      <w:pPr>
        <w:spacing w:before="240" w:after="120" w:line="276" w:lineRule="auto"/>
        <w:jc w:val="both"/>
        <w:rPr>
          <w:rFonts w:asciiTheme="minorHAnsi" w:hAnsiTheme="minorHAnsi"/>
        </w:rPr>
      </w:pPr>
      <w:r w:rsidRPr="005B47F4">
        <w:rPr>
          <w:rFonts w:asciiTheme="minorHAnsi" w:hAnsiTheme="minorHAnsi"/>
        </w:rPr>
        <w:t>We welcome provisions in Burkina Faso’s new draft constitution to abolish the death penalty.</w:t>
      </w:r>
      <w:r w:rsidRPr="005B47F4" w:rsidDel="004042D1">
        <w:rPr>
          <w:rFonts w:asciiTheme="minorHAnsi" w:hAnsiTheme="minorHAnsi"/>
        </w:rPr>
        <w:t xml:space="preserve"> </w:t>
      </w:r>
      <w:r w:rsidRPr="005B47F4">
        <w:rPr>
          <w:rFonts w:asciiTheme="minorHAnsi" w:hAnsiTheme="minorHAnsi"/>
          <w:b/>
        </w:rPr>
        <w:t>We recommend that Burkina Faso formally abolish the death penalty, including by ratifying the Second Optional Protocol to the ICCPR</w:t>
      </w:r>
      <w:r w:rsidRPr="005B47F4">
        <w:rPr>
          <w:rFonts w:asciiTheme="minorHAnsi" w:hAnsiTheme="minorHAnsi"/>
        </w:rPr>
        <w:t xml:space="preserve">.  </w:t>
      </w:r>
    </w:p>
    <w:p w14:paraId="3B8653C7" w14:textId="77777777" w:rsidR="005B47F4" w:rsidRPr="005B47F4" w:rsidRDefault="005B47F4" w:rsidP="00880411">
      <w:pPr>
        <w:spacing w:after="120" w:line="276" w:lineRule="auto"/>
        <w:jc w:val="both"/>
        <w:rPr>
          <w:rFonts w:asciiTheme="minorHAnsi" w:hAnsiTheme="minorHAnsi"/>
          <w:i/>
        </w:rPr>
      </w:pPr>
    </w:p>
    <w:p w14:paraId="2B48D8C1" w14:textId="77777777" w:rsidR="005B47F4" w:rsidRPr="005B47F4" w:rsidRDefault="005B47F4" w:rsidP="005B47F4">
      <w:pPr>
        <w:spacing w:after="120"/>
        <w:jc w:val="both"/>
        <w:rPr>
          <w:rFonts w:asciiTheme="minorHAnsi" w:hAnsiTheme="minorHAnsi"/>
          <w:b/>
        </w:rPr>
      </w:pPr>
    </w:p>
    <w:p w14:paraId="24B02753" w14:textId="27B7777B" w:rsidR="005B47F4" w:rsidRPr="005B47F4" w:rsidRDefault="005B47F4" w:rsidP="005B47F4">
      <w:pPr>
        <w:spacing w:after="120"/>
        <w:jc w:val="both"/>
        <w:rPr>
          <w:rFonts w:asciiTheme="minorHAnsi" w:hAnsiTheme="minorHAnsi"/>
          <w:b/>
        </w:rPr>
      </w:pPr>
      <w:r w:rsidRPr="005B47F4">
        <w:rPr>
          <w:rFonts w:asciiTheme="minorHAnsi" w:hAnsiTheme="minorHAnsi"/>
          <w:b/>
        </w:rPr>
        <w:t>Words: 1</w:t>
      </w:r>
      <w:r>
        <w:rPr>
          <w:rFonts w:asciiTheme="minorHAnsi" w:hAnsiTheme="minorHAnsi"/>
          <w:b/>
        </w:rPr>
        <w:t>99</w:t>
      </w:r>
    </w:p>
    <w:p w14:paraId="14E1725F" w14:textId="77777777" w:rsidR="005B47F4" w:rsidRPr="004D01BE" w:rsidRDefault="005B47F4" w:rsidP="005B47F4">
      <w:pPr>
        <w:spacing w:after="120"/>
        <w:jc w:val="both"/>
        <w:rPr>
          <w:b/>
        </w:rPr>
      </w:pPr>
    </w:p>
    <w:p w14:paraId="2950B0B6" w14:textId="58CB63CA" w:rsidR="007234B9" w:rsidRPr="00B50EF5" w:rsidRDefault="007234B9" w:rsidP="00B50EF5">
      <w:pPr>
        <w:rPr>
          <w:rFonts w:asciiTheme="minorHAnsi" w:hAnsiTheme="minorHAnsi"/>
        </w:rPr>
      </w:pPr>
    </w:p>
    <w:sectPr w:rsidR="007234B9" w:rsidRPr="00B50EF5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4AC7" w14:textId="77777777" w:rsidR="007D54CF" w:rsidRDefault="007D54CF">
      <w:r>
        <w:separator/>
      </w:r>
    </w:p>
  </w:endnote>
  <w:endnote w:type="continuationSeparator" w:id="0">
    <w:p w14:paraId="4A6C4C80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49B0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7E77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179CB" wp14:editId="380A511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7ED4B770" wp14:editId="418E41B8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BF76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73CEEFCC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B7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097BF76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73CEEFCC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B5FE" w14:textId="77777777" w:rsidR="007D54CF" w:rsidRDefault="007D54CF">
      <w:r>
        <w:separator/>
      </w:r>
    </w:p>
  </w:footnote>
  <w:footnote w:type="continuationSeparator" w:id="0">
    <w:p w14:paraId="705300BA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193C" w14:textId="254DF9F2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47F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DC1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0E4FA59" wp14:editId="0B64DFE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37EF7EC2" wp14:editId="79DEB56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1BE5"/>
    <w:rsid w:val="00003F30"/>
    <w:rsid w:val="000101B2"/>
    <w:rsid w:val="0003255E"/>
    <w:rsid w:val="00032CBD"/>
    <w:rsid w:val="00035B24"/>
    <w:rsid w:val="00043390"/>
    <w:rsid w:val="000535B2"/>
    <w:rsid w:val="0006767D"/>
    <w:rsid w:val="000B03C1"/>
    <w:rsid w:val="000E7AD0"/>
    <w:rsid w:val="00143A3D"/>
    <w:rsid w:val="00154D0F"/>
    <w:rsid w:val="001678FF"/>
    <w:rsid w:val="001943BF"/>
    <w:rsid w:val="001B74E4"/>
    <w:rsid w:val="001C78F9"/>
    <w:rsid w:val="001E15DC"/>
    <w:rsid w:val="001E4C81"/>
    <w:rsid w:val="001F33FB"/>
    <w:rsid w:val="00292584"/>
    <w:rsid w:val="002A4718"/>
    <w:rsid w:val="002C1AA4"/>
    <w:rsid w:val="003313B8"/>
    <w:rsid w:val="00343E42"/>
    <w:rsid w:val="00344A74"/>
    <w:rsid w:val="0039595E"/>
    <w:rsid w:val="003E3335"/>
    <w:rsid w:val="00410496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536998"/>
    <w:rsid w:val="00585837"/>
    <w:rsid w:val="005B47F4"/>
    <w:rsid w:val="005C3D38"/>
    <w:rsid w:val="005F5E36"/>
    <w:rsid w:val="00612033"/>
    <w:rsid w:val="00614E2E"/>
    <w:rsid w:val="00632B78"/>
    <w:rsid w:val="006E2982"/>
    <w:rsid w:val="00710C49"/>
    <w:rsid w:val="007202AA"/>
    <w:rsid w:val="007234B9"/>
    <w:rsid w:val="00785653"/>
    <w:rsid w:val="007956D4"/>
    <w:rsid w:val="007D54CF"/>
    <w:rsid w:val="007D6FDD"/>
    <w:rsid w:val="007F5ADA"/>
    <w:rsid w:val="0082005D"/>
    <w:rsid w:val="00824BFB"/>
    <w:rsid w:val="00851D73"/>
    <w:rsid w:val="00867168"/>
    <w:rsid w:val="00880411"/>
    <w:rsid w:val="00911D03"/>
    <w:rsid w:val="00913F38"/>
    <w:rsid w:val="00952ED4"/>
    <w:rsid w:val="00964CC7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9A7"/>
    <w:rsid w:val="00B00D69"/>
    <w:rsid w:val="00B50EF5"/>
    <w:rsid w:val="00B62778"/>
    <w:rsid w:val="00B83623"/>
    <w:rsid w:val="00BB0CBD"/>
    <w:rsid w:val="00BC6FDB"/>
    <w:rsid w:val="00BE11F8"/>
    <w:rsid w:val="00C17DEB"/>
    <w:rsid w:val="00C24710"/>
    <w:rsid w:val="00C5592D"/>
    <w:rsid w:val="00C55ACD"/>
    <w:rsid w:val="00C63A5F"/>
    <w:rsid w:val="00C77D3F"/>
    <w:rsid w:val="00C946F3"/>
    <w:rsid w:val="00C97B1C"/>
    <w:rsid w:val="00D03DA8"/>
    <w:rsid w:val="00D17D55"/>
    <w:rsid w:val="00D26088"/>
    <w:rsid w:val="00D33515"/>
    <w:rsid w:val="00D64185"/>
    <w:rsid w:val="00D730D4"/>
    <w:rsid w:val="00DF0392"/>
    <w:rsid w:val="00E1428F"/>
    <w:rsid w:val="00E9390A"/>
    <w:rsid w:val="00EA25C0"/>
    <w:rsid w:val="00EC7B79"/>
    <w:rsid w:val="00ED3A71"/>
    <w:rsid w:val="00EE5439"/>
    <w:rsid w:val="00EF33BC"/>
    <w:rsid w:val="00EF508B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49FFE5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B730B-2245-42A8-9DA5-8A20A5EEDE50}"/>
</file>

<file path=customXml/itemProps2.xml><?xml version="1.0" encoding="utf-8"?>
<ds:datastoreItem xmlns:ds="http://schemas.openxmlformats.org/officeDocument/2006/customXml" ds:itemID="{46F7829D-1B29-42F5-A1BA-8189B0B6068E}"/>
</file>

<file path=customXml/itemProps3.xml><?xml version="1.0" encoding="utf-8"?>
<ds:datastoreItem xmlns:ds="http://schemas.openxmlformats.org/officeDocument/2006/customXml" ds:itemID="{B8962FF1-9F24-4292-B2F2-08E20F746CA6}"/>
</file>

<file path=customXml/itemProps4.xml><?xml version="1.0" encoding="utf-8"?>
<ds:datastoreItem xmlns:ds="http://schemas.openxmlformats.org/officeDocument/2006/customXml" ds:itemID="{AB3C619D-D97A-4486-B9D0-22B9C30AF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Bernacki, Genevieve</cp:lastModifiedBy>
  <cp:revision>2</cp:revision>
  <cp:lastPrinted>2018-04-26T04:59:00Z</cp:lastPrinted>
  <dcterms:created xsi:type="dcterms:W3CDTF">2018-05-07T13:02:00Z</dcterms:created>
  <dcterms:modified xsi:type="dcterms:W3CDTF">2018-05-07T13:02:00Z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