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4015" w14:textId="77777777" w:rsidR="00700ED6" w:rsidRPr="00700ED6" w:rsidRDefault="00700ED6" w:rsidP="00700ED6">
      <w:pPr>
        <w:jc w:val="center"/>
        <w:rPr>
          <w:rFonts w:ascii="Sylfaen" w:hAnsi="Sylfaen" w:cs="Arial"/>
          <w:b/>
          <w:bCs/>
          <w:color w:val="000000" w:themeColor="text1"/>
          <w:sz w:val="60"/>
          <w:szCs w:val="60"/>
        </w:rPr>
      </w:pPr>
      <w:r w:rsidRPr="00700ED6">
        <w:rPr>
          <w:rFonts w:ascii="Sylfaen" w:hAnsi="Sylfaen" w:cs="Arial"/>
          <w:b/>
          <w:bCs/>
          <w:color w:val="000000" w:themeColor="text1"/>
          <w:sz w:val="60"/>
          <w:szCs w:val="60"/>
        </w:rPr>
        <w:t>GEORGIA</w:t>
      </w:r>
    </w:p>
    <w:p w14:paraId="289361F0" w14:textId="77777777" w:rsidR="00700ED6" w:rsidRPr="00700ED6" w:rsidRDefault="00700ED6" w:rsidP="00700ED6">
      <w:pPr>
        <w:ind w:left="180"/>
        <w:jc w:val="center"/>
        <w:rPr>
          <w:rFonts w:ascii="Sylfaen" w:hAnsi="Sylfaen" w:cs="Arial"/>
          <w:b/>
          <w:bCs/>
          <w:color w:val="000000" w:themeColor="text1"/>
          <w:szCs w:val="24"/>
        </w:rPr>
      </w:pPr>
    </w:p>
    <w:p w14:paraId="3920F4DA" w14:textId="4E2A2EC9" w:rsidR="00700ED6" w:rsidRPr="00700ED6" w:rsidRDefault="00700ED6" w:rsidP="00700ED6">
      <w:pPr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THE 30</w:t>
      </w:r>
      <w:r w:rsidRPr="00700ED6">
        <w:rPr>
          <w:rFonts w:ascii="Sylfaen" w:eastAsia="SimSun" w:hAnsi="Sylfae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700ED6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405E1FAB" w14:textId="7610797D" w:rsidR="00700ED6" w:rsidRPr="00700ED6" w:rsidRDefault="00700ED6" w:rsidP="00700ED6">
      <w:pPr>
        <w:jc w:val="center"/>
        <w:rPr>
          <w:rFonts w:ascii="Sylfaen" w:hAnsi="Sylfaen"/>
          <w:b/>
          <w:color w:val="000000" w:themeColor="text1"/>
          <w:szCs w:val="24"/>
        </w:rPr>
      </w:pPr>
      <w:r w:rsidRPr="00700ED6">
        <w:rPr>
          <w:rFonts w:ascii="Sylfaen" w:hAnsi="Sylfaen"/>
          <w:b/>
          <w:color w:val="000000" w:themeColor="text1"/>
          <w:szCs w:val="24"/>
        </w:rPr>
        <w:t xml:space="preserve">UPR of the </w:t>
      </w:r>
      <w:r>
        <w:rPr>
          <w:rFonts w:ascii="Sylfaen" w:hAnsi="Sylfaen"/>
          <w:b/>
          <w:color w:val="000000" w:themeColor="text1"/>
          <w:szCs w:val="24"/>
        </w:rPr>
        <w:t>TURKMENISTAN</w:t>
      </w:r>
    </w:p>
    <w:p w14:paraId="75F1C01B" w14:textId="77777777" w:rsidR="00700ED6" w:rsidRPr="00700ED6" w:rsidRDefault="00700ED6" w:rsidP="00700ED6">
      <w:pPr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</w:p>
    <w:p w14:paraId="5663B59B" w14:textId="1E802C90" w:rsidR="00700ED6" w:rsidRPr="00700ED6" w:rsidRDefault="00700ED6" w:rsidP="00700ED6">
      <w:pPr>
        <w:ind w:left="180"/>
        <w:jc w:val="right"/>
        <w:rPr>
          <w:rFonts w:ascii="Sylfaen" w:hAnsi="Sylfaen" w:cs="Arial"/>
          <w:b/>
          <w:bCs/>
          <w:color w:val="000000" w:themeColor="text1"/>
          <w:szCs w:val="24"/>
          <w:lang w:val="ka-GE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7</w:t>
      </w:r>
      <w:r w:rsidRPr="00700ED6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May</w:t>
      </w:r>
      <w:r w:rsidRPr="00700ED6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, 2018</w:t>
      </w:r>
    </w:p>
    <w:p w14:paraId="3FFE9DF3" w14:textId="77777777" w:rsidR="00E72FB4" w:rsidRPr="00084046" w:rsidRDefault="00E72FB4" w:rsidP="00084046">
      <w:pPr>
        <w:jc w:val="both"/>
        <w:rPr>
          <w:rFonts w:ascii="Sylfaen" w:hAnsi="Sylfaen"/>
          <w:sz w:val="24"/>
          <w:szCs w:val="24"/>
        </w:rPr>
      </w:pPr>
    </w:p>
    <w:p w14:paraId="26BEF6A2" w14:textId="77777777" w:rsidR="00E72FB4" w:rsidRPr="00084046" w:rsidRDefault="00E72FB4" w:rsidP="00084046">
      <w:pPr>
        <w:jc w:val="both"/>
        <w:rPr>
          <w:rFonts w:ascii="Sylfaen" w:hAnsi="Sylfaen"/>
          <w:sz w:val="24"/>
          <w:szCs w:val="24"/>
        </w:rPr>
      </w:pPr>
      <w:r w:rsidRPr="00084046">
        <w:rPr>
          <w:rFonts w:ascii="Sylfaen" w:hAnsi="Sylfaen"/>
          <w:color w:val="000000" w:themeColor="text1"/>
          <w:sz w:val="24"/>
          <w:szCs w:val="24"/>
        </w:rPr>
        <w:t xml:space="preserve">Georgia warmly welcomes the Delegation of </w:t>
      </w:r>
      <w:r w:rsidRPr="00084046">
        <w:rPr>
          <w:rFonts w:ascii="Sylfaen" w:hAnsi="Sylfaen"/>
          <w:sz w:val="24"/>
          <w:szCs w:val="24"/>
        </w:rPr>
        <w:t>Turkmenistan</w:t>
      </w:r>
      <w:r w:rsidRPr="00084046">
        <w:rPr>
          <w:rFonts w:ascii="Sylfaen" w:hAnsi="Sylfaen"/>
          <w:color w:val="000000" w:themeColor="text1"/>
          <w:sz w:val="24"/>
          <w:szCs w:val="24"/>
        </w:rPr>
        <w:t xml:space="preserve"> and </w:t>
      </w:r>
      <w:r w:rsidRPr="00084046">
        <w:rPr>
          <w:rFonts w:ascii="Sylfaen" w:hAnsi="Sylfaen"/>
          <w:sz w:val="24"/>
          <w:szCs w:val="24"/>
        </w:rPr>
        <w:t>thanks the Head of Delegation for the presentation of the national report.</w:t>
      </w:r>
    </w:p>
    <w:p w14:paraId="0708787A" w14:textId="77777777" w:rsidR="009B09F9" w:rsidRPr="00084046" w:rsidRDefault="009B09F9" w:rsidP="00084046">
      <w:pPr>
        <w:jc w:val="both"/>
        <w:rPr>
          <w:rFonts w:ascii="Sylfaen" w:hAnsi="Sylfaen"/>
          <w:sz w:val="24"/>
          <w:szCs w:val="24"/>
        </w:rPr>
      </w:pPr>
      <w:r w:rsidRPr="00084046">
        <w:rPr>
          <w:rFonts w:ascii="Sylfaen" w:hAnsi="Sylfaen"/>
          <w:sz w:val="24"/>
          <w:szCs w:val="24"/>
        </w:rPr>
        <w:t xml:space="preserve">Georgia welcomes reforms </w:t>
      </w:r>
      <w:r w:rsidR="006140DE">
        <w:rPr>
          <w:rFonts w:ascii="Sylfaen" w:hAnsi="Sylfaen"/>
          <w:sz w:val="24"/>
          <w:szCs w:val="24"/>
        </w:rPr>
        <w:t>implemented by Turkmenistan aimed at provision of better</w:t>
      </w:r>
      <w:r w:rsidR="00E50161" w:rsidRPr="00084046">
        <w:rPr>
          <w:rFonts w:ascii="Sylfaen" w:hAnsi="Sylfaen"/>
          <w:sz w:val="24"/>
          <w:szCs w:val="24"/>
        </w:rPr>
        <w:t xml:space="preserve"> </w:t>
      </w:r>
      <w:r w:rsidR="006140DE" w:rsidRPr="00084046">
        <w:rPr>
          <w:rFonts w:ascii="Sylfaen" w:hAnsi="Sylfaen"/>
          <w:sz w:val="24"/>
          <w:szCs w:val="24"/>
        </w:rPr>
        <w:t xml:space="preserve">human rights </w:t>
      </w:r>
      <w:r w:rsidR="00E50161" w:rsidRPr="00084046">
        <w:rPr>
          <w:rFonts w:ascii="Sylfaen" w:hAnsi="Sylfaen"/>
          <w:sz w:val="24"/>
          <w:szCs w:val="24"/>
        </w:rPr>
        <w:t xml:space="preserve">protection </w:t>
      </w:r>
      <w:r w:rsidR="009246E8">
        <w:rPr>
          <w:rFonts w:ascii="Sylfaen" w:hAnsi="Sylfaen"/>
          <w:sz w:val="24"/>
          <w:szCs w:val="24"/>
        </w:rPr>
        <w:t>for</w:t>
      </w:r>
      <w:r w:rsidR="006140DE">
        <w:rPr>
          <w:rFonts w:ascii="Sylfaen" w:hAnsi="Sylfaen"/>
          <w:sz w:val="24"/>
          <w:szCs w:val="24"/>
        </w:rPr>
        <w:t xml:space="preserve"> its citizens and</w:t>
      </w:r>
      <w:r w:rsidR="00E50161" w:rsidRPr="00084046">
        <w:rPr>
          <w:rFonts w:ascii="Sylfaen" w:hAnsi="Sylfaen"/>
          <w:sz w:val="24"/>
          <w:szCs w:val="24"/>
        </w:rPr>
        <w:t xml:space="preserve"> </w:t>
      </w:r>
      <w:r w:rsidR="006140DE" w:rsidRPr="00084046">
        <w:rPr>
          <w:rFonts w:ascii="Sylfaen" w:hAnsi="Sylfaen"/>
          <w:sz w:val="24"/>
          <w:szCs w:val="24"/>
        </w:rPr>
        <w:t>fulfill</w:t>
      </w:r>
      <w:r w:rsidR="006140DE">
        <w:rPr>
          <w:rFonts w:ascii="Sylfaen" w:hAnsi="Sylfaen"/>
          <w:sz w:val="24"/>
          <w:szCs w:val="24"/>
        </w:rPr>
        <w:t>ing its international obligations</w:t>
      </w:r>
      <w:r w:rsidR="00E50161" w:rsidRPr="00084046">
        <w:rPr>
          <w:rFonts w:ascii="Sylfaen" w:hAnsi="Sylfaen"/>
          <w:sz w:val="24"/>
          <w:szCs w:val="24"/>
        </w:rPr>
        <w:t>.</w:t>
      </w:r>
    </w:p>
    <w:p w14:paraId="6B0288B4" w14:textId="77777777" w:rsidR="00E50161" w:rsidRPr="00084046" w:rsidRDefault="00E50161" w:rsidP="00084046">
      <w:pPr>
        <w:jc w:val="both"/>
        <w:rPr>
          <w:rFonts w:ascii="Sylfaen" w:hAnsi="Sylfaen"/>
          <w:sz w:val="24"/>
          <w:szCs w:val="24"/>
        </w:rPr>
      </w:pPr>
      <w:r w:rsidRPr="00084046">
        <w:rPr>
          <w:rFonts w:ascii="Sylfaen" w:hAnsi="Sylfaen"/>
          <w:sz w:val="24"/>
          <w:szCs w:val="24"/>
        </w:rPr>
        <w:t xml:space="preserve">Georgia </w:t>
      </w:r>
      <w:r w:rsidR="006140DE">
        <w:rPr>
          <w:rFonts w:ascii="Sylfaen" w:hAnsi="Sylfaen"/>
          <w:sz w:val="24"/>
          <w:szCs w:val="24"/>
        </w:rPr>
        <w:t>positively notes Turkmenistan</w:t>
      </w:r>
      <w:r w:rsidRPr="00084046">
        <w:rPr>
          <w:rFonts w:ascii="Sylfaen" w:hAnsi="Sylfaen"/>
          <w:sz w:val="24"/>
          <w:szCs w:val="24"/>
        </w:rPr>
        <w:t xml:space="preserve">’s </w:t>
      </w:r>
      <w:r w:rsidR="00644E94">
        <w:rPr>
          <w:rFonts w:ascii="Sylfaen" w:hAnsi="Sylfaen"/>
          <w:sz w:val="24"/>
          <w:szCs w:val="24"/>
        </w:rPr>
        <w:t>accession to the Paris agreement as well as to</w:t>
      </w:r>
      <w:r w:rsidRPr="00084046">
        <w:rPr>
          <w:rFonts w:ascii="Sylfaen" w:hAnsi="Sylfaen"/>
          <w:sz w:val="24"/>
          <w:szCs w:val="24"/>
        </w:rPr>
        <w:t xml:space="preserve"> a number of </w:t>
      </w:r>
      <w:r w:rsidR="00644E94">
        <w:rPr>
          <w:rFonts w:ascii="Sylfaen" w:hAnsi="Sylfaen"/>
          <w:sz w:val="24"/>
          <w:szCs w:val="24"/>
        </w:rPr>
        <w:t xml:space="preserve">other </w:t>
      </w:r>
      <w:r w:rsidR="009246E8">
        <w:rPr>
          <w:rFonts w:ascii="Sylfaen" w:hAnsi="Sylfaen"/>
          <w:sz w:val="24"/>
          <w:szCs w:val="24"/>
        </w:rPr>
        <w:t>international treaties.</w:t>
      </w:r>
    </w:p>
    <w:p w14:paraId="5B435DEC" w14:textId="77777777" w:rsidR="00EE0EF1" w:rsidRDefault="00880096" w:rsidP="00084046">
      <w:pPr>
        <w:jc w:val="both"/>
        <w:rPr>
          <w:rFonts w:ascii="Sylfaen" w:hAnsi="Sylfaen"/>
          <w:sz w:val="24"/>
          <w:szCs w:val="24"/>
        </w:rPr>
      </w:pPr>
      <w:r w:rsidRPr="00084046">
        <w:rPr>
          <w:rFonts w:ascii="Sylfaen" w:hAnsi="Sylfaen"/>
          <w:sz w:val="24"/>
          <w:szCs w:val="24"/>
        </w:rPr>
        <w:t>Georgia also welcomes the</w:t>
      </w:r>
      <w:r w:rsidR="00644E94">
        <w:rPr>
          <w:rFonts w:ascii="Sylfaen" w:hAnsi="Sylfaen"/>
          <w:sz w:val="24"/>
          <w:szCs w:val="24"/>
        </w:rPr>
        <w:t xml:space="preserve"> strengthening of the framework of national human rights institutions in Turkmenistan through establishment of the position of </w:t>
      </w:r>
      <w:r w:rsidR="00EE0EF1">
        <w:rPr>
          <w:rFonts w:ascii="Sylfaen" w:hAnsi="Sylfaen"/>
          <w:sz w:val="24"/>
          <w:szCs w:val="24"/>
        </w:rPr>
        <w:t xml:space="preserve">the </w:t>
      </w:r>
      <w:r w:rsidR="00644E94" w:rsidRPr="00644E94">
        <w:rPr>
          <w:rFonts w:ascii="Sylfaen" w:hAnsi="Sylfaen"/>
          <w:sz w:val="24"/>
          <w:szCs w:val="24"/>
        </w:rPr>
        <w:t>Commissioner for Human Rights</w:t>
      </w:r>
      <w:r w:rsidRPr="00084046">
        <w:rPr>
          <w:rFonts w:ascii="Sylfaen" w:hAnsi="Sylfaen"/>
          <w:sz w:val="24"/>
          <w:szCs w:val="24"/>
        </w:rPr>
        <w:t xml:space="preserve"> </w:t>
      </w:r>
      <w:r w:rsidR="00EE0EF1">
        <w:rPr>
          <w:rFonts w:ascii="Sylfaen" w:hAnsi="Sylfaen"/>
          <w:sz w:val="24"/>
          <w:szCs w:val="24"/>
        </w:rPr>
        <w:t>(O</w:t>
      </w:r>
      <w:r w:rsidRPr="00084046">
        <w:rPr>
          <w:rFonts w:ascii="Sylfaen" w:hAnsi="Sylfaen"/>
          <w:sz w:val="24"/>
          <w:szCs w:val="24"/>
        </w:rPr>
        <w:t>mbudsperson</w:t>
      </w:r>
      <w:r w:rsidR="00EE0EF1">
        <w:rPr>
          <w:rFonts w:ascii="Sylfaen" w:hAnsi="Sylfaen"/>
          <w:sz w:val="24"/>
          <w:szCs w:val="24"/>
        </w:rPr>
        <w:t>), in line with the recommendations of the second cycle of the UPR.</w:t>
      </w:r>
    </w:p>
    <w:p w14:paraId="4276FC61" w14:textId="77777777" w:rsidR="00E6338F" w:rsidRPr="00084046" w:rsidRDefault="00E6338F" w:rsidP="00084046">
      <w:pPr>
        <w:pStyle w:val="ListParagraph"/>
        <w:rPr>
          <w:rFonts w:ascii="Sylfaen" w:hAnsi="Sylfaen"/>
          <w:color w:val="000000" w:themeColor="text1"/>
          <w:sz w:val="24"/>
          <w:szCs w:val="24"/>
        </w:rPr>
      </w:pPr>
    </w:p>
    <w:p w14:paraId="69BCE050" w14:textId="77777777" w:rsidR="00E6338F" w:rsidRPr="00084046" w:rsidRDefault="009246E8" w:rsidP="00084046">
      <w:pPr>
        <w:pStyle w:val="ListParagraph"/>
        <w:ind w:left="0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Having said this,</w:t>
      </w:r>
      <w:r w:rsidR="00E6338F" w:rsidRPr="00084046">
        <w:rPr>
          <w:rFonts w:ascii="Sylfaen" w:hAnsi="Sylfaen"/>
          <w:color w:val="000000" w:themeColor="text1"/>
          <w:sz w:val="24"/>
          <w:szCs w:val="24"/>
        </w:rPr>
        <w:t xml:space="preserve"> Georgia would like to</w:t>
      </w:r>
      <w:r w:rsidR="00E6338F" w:rsidRPr="00084046">
        <w:rPr>
          <w:rFonts w:ascii="Sylfaen" w:hAnsi="Sylfaen"/>
          <w:b/>
          <w:color w:val="000000" w:themeColor="text1"/>
          <w:sz w:val="24"/>
          <w:szCs w:val="24"/>
        </w:rPr>
        <w:t xml:space="preserve"> recommend </w:t>
      </w:r>
      <w:r w:rsidR="00E6338F" w:rsidRPr="00084046">
        <w:rPr>
          <w:rFonts w:ascii="Sylfaen" w:hAnsi="Sylfaen"/>
          <w:color w:val="000000" w:themeColor="text1"/>
          <w:sz w:val="24"/>
          <w:szCs w:val="24"/>
        </w:rPr>
        <w:t>to the Government of Turkmenistan:</w:t>
      </w:r>
    </w:p>
    <w:p w14:paraId="0DF65D6B" w14:textId="77777777" w:rsidR="00A503E7" w:rsidRPr="00084046" w:rsidRDefault="00A503E7" w:rsidP="0008404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3F6A8B1E" w14:textId="77777777" w:rsidR="00FC6F33" w:rsidRPr="00084046" w:rsidRDefault="009246E8" w:rsidP="0008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accelerate its efforts towards eliminating violence against women and to consider adopting relevant legislation</w:t>
      </w:r>
      <w:r w:rsidR="00FC6F33" w:rsidRPr="00084046">
        <w:rPr>
          <w:rFonts w:ascii="Sylfaen" w:hAnsi="Sylfaen"/>
          <w:sz w:val="24"/>
          <w:szCs w:val="24"/>
        </w:rPr>
        <w:t>.</w:t>
      </w:r>
    </w:p>
    <w:p w14:paraId="7567CF0B" w14:textId="28B55DBC" w:rsidR="00A503E7" w:rsidRPr="00084046" w:rsidRDefault="00A503E7" w:rsidP="0008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84046">
        <w:rPr>
          <w:rFonts w:ascii="Sylfaen" w:hAnsi="Sylfaen"/>
          <w:sz w:val="24"/>
          <w:szCs w:val="24"/>
        </w:rPr>
        <w:t xml:space="preserve">To </w:t>
      </w:r>
      <w:r w:rsidR="002A7DA9">
        <w:rPr>
          <w:rFonts w:ascii="Sylfaen" w:hAnsi="Sylfaen"/>
          <w:sz w:val="24"/>
          <w:szCs w:val="24"/>
        </w:rPr>
        <w:t>intensify internal examinations related to the accession t</w:t>
      </w:r>
      <w:r w:rsidR="009246E8">
        <w:rPr>
          <w:rFonts w:ascii="Sylfaen" w:hAnsi="Sylfaen"/>
          <w:sz w:val="24"/>
          <w:szCs w:val="24"/>
        </w:rPr>
        <w:t>o</w:t>
      </w:r>
      <w:r w:rsidRPr="00084046">
        <w:rPr>
          <w:rFonts w:ascii="Sylfaen" w:hAnsi="Sylfaen"/>
          <w:sz w:val="24"/>
          <w:szCs w:val="24"/>
        </w:rPr>
        <w:t xml:space="preserve"> the</w:t>
      </w:r>
      <w:r w:rsidR="002F5D90" w:rsidRPr="00084046">
        <w:rPr>
          <w:rFonts w:ascii="Sylfaen" w:hAnsi="Sylfaen"/>
          <w:sz w:val="24"/>
          <w:szCs w:val="24"/>
        </w:rPr>
        <w:t xml:space="preserve"> Optional Protocol to the Convention against Torture and Other Cruel, Inhuman or Degrading Treatment or Punishment</w:t>
      </w:r>
      <w:r w:rsidRPr="00084046">
        <w:rPr>
          <w:rFonts w:ascii="Sylfaen" w:hAnsi="Sylfaen"/>
          <w:sz w:val="24"/>
          <w:szCs w:val="24"/>
        </w:rPr>
        <w:t>;</w:t>
      </w:r>
      <w:r w:rsidR="00392418" w:rsidRPr="00084046">
        <w:rPr>
          <w:rFonts w:ascii="Sylfaen" w:hAnsi="Sylfaen"/>
          <w:sz w:val="24"/>
          <w:szCs w:val="24"/>
        </w:rPr>
        <w:t xml:space="preserve"> the Optional Protocol to the Convention on the Rights of the Child on a communications procedure</w:t>
      </w:r>
      <w:bookmarkStart w:id="0" w:name="_GoBack"/>
      <w:bookmarkEnd w:id="0"/>
      <w:r w:rsidR="00C365AD" w:rsidRPr="00084046">
        <w:rPr>
          <w:rFonts w:ascii="Sylfaen" w:hAnsi="Sylfaen"/>
          <w:sz w:val="24"/>
          <w:szCs w:val="24"/>
        </w:rPr>
        <w:t>;</w:t>
      </w:r>
    </w:p>
    <w:p w14:paraId="5DBE7E1A" w14:textId="77777777" w:rsidR="002E2833" w:rsidRPr="00084046" w:rsidRDefault="002E2833" w:rsidP="00084046">
      <w:pPr>
        <w:pStyle w:val="ListParagraph"/>
        <w:tabs>
          <w:tab w:val="left" w:pos="9356"/>
        </w:tabs>
        <w:ind w:left="0"/>
        <w:jc w:val="both"/>
        <w:rPr>
          <w:rFonts w:ascii="Sylfaen" w:hAnsi="Sylfaen"/>
          <w:sz w:val="24"/>
          <w:szCs w:val="24"/>
        </w:rPr>
      </w:pPr>
    </w:p>
    <w:p w14:paraId="6FF88282" w14:textId="4B9689CC" w:rsidR="002E2833" w:rsidRPr="00084046" w:rsidRDefault="002E2833" w:rsidP="00084046">
      <w:pPr>
        <w:pStyle w:val="ListParagraph"/>
        <w:tabs>
          <w:tab w:val="left" w:pos="9356"/>
        </w:tabs>
        <w:ind w:left="0"/>
        <w:jc w:val="both"/>
        <w:rPr>
          <w:rFonts w:ascii="Sylfaen" w:hAnsi="Sylfaen"/>
          <w:sz w:val="24"/>
          <w:szCs w:val="24"/>
        </w:rPr>
      </w:pPr>
      <w:r w:rsidRPr="00084046">
        <w:rPr>
          <w:rFonts w:ascii="Sylfaen" w:hAnsi="Sylfaen"/>
          <w:sz w:val="24"/>
          <w:szCs w:val="24"/>
        </w:rPr>
        <w:t>We wish the delegation of Turkmenistan a</w:t>
      </w:r>
      <w:r w:rsidR="002A7DA9">
        <w:rPr>
          <w:rFonts w:ascii="Sylfaen" w:hAnsi="Sylfaen"/>
          <w:sz w:val="24"/>
          <w:szCs w:val="24"/>
        </w:rPr>
        <w:t xml:space="preserve"> very</w:t>
      </w:r>
      <w:r w:rsidRPr="00084046">
        <w:rPr>
          <w:rFonts w:ascii="Sylfaen" w:hAnsi="Sylfaen"/>
          <w:sz w:val="24"/>
          <w:szCs w:val="24"/>
        </w:rPr>
        <w:t xml:space="preserve"> successful UPR.</w:t>
      </w:r>
    </w:p>
    <w:p w14:paraId="2BB3B7FA" w14:textId="77777777" w:rsidR="00C365AD" w:rsidRPr="00C94372" w:rsidRDefault="00C365AD" w:rsidP="00084046">
      <w:pPr>
        <w:pStyle w:val="ListParagraph"/>
        <w:spacing w:after="0" w:line="240" w:lineRule="auto"/>
        <w:jc w:val="both"/>
        <w:rPr>
          <w:rFonts w:ascii="Sylfaen" w:hAnsi="Sylfaen"/>
        </w:rPr>
      </w:pPr>
    </w:p>
    <w:sectPr w:rsidR="00C365AD" w:rsidRPr="00C94372" w:rsidSect="008650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2C4"/>
    <w:multiLevelType w:val="hybridMultilevel"/>
    <w:tmpl w:val="011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06897"/>
    <w:multiLevelType w:val="hybridMultilevel"/>
    <w:tmpl w:val="A4AA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894"/>
    <w:multiLevelType w:val="hybridMultilevel"/>
    <w:tmpl w:val="79D8EA95"/>
    <w:lvl w:ilvl="0" w:tplc="4E302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1D423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C64C3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5403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E2CC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682ECD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8E694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1240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98407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  <w:lvl w:ilvl="0" w:tplc="4E30218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31D42302">
        <w:start w:val="1"/>
        <w:numFmt w:val="decimal"/>
        <w:lvlText w:val=""/>
        <w:lvlJc w:val="left"/>
      </w:lvl>
    </w:lvlOverride>
    <w:lvlOverride w:ilvl="2">
      <w:startOverride w:val="1"/>
      <w:lvl w:ilvl="2" w:tplc="5C64C350">
        <w:start w:val="1"/>
        <w:numFmt w:val="decimal"/>
        <w:lvlText w:val=""/>
        <w:lvlJc w:val="left"/>
      </w:lvl>
    </w:lvlOverride>
    <w:lvlOverride w:ilvl="3">
      <w:startOverride w:val="1"/>
      <w:lvl w:ilvl="3" w:tplc="555403C6">
        <w:start w:val="1"/>
        <w:numFmt w:val="decimal"/>
        <w:lvlText w:val=""/>
        <w:lvlJc w:val="left"/>
      </w:lvl>
    </w:lvlOverride>
    <w:lvlOverride w:ilvl="4">
      <w:startOverride w:val="1"/>
      <w:lvl w:ilvl="4" w:tplc="28E2CCEA">
        <w:start w:val="1"/>
        <w:numFmt w:val="decimal"/>
        <w:lvlText w:val=""/>
        <w:lvlJc w:val="left"/>
      </w:lvl>
    </w:lvlOverride>
    <w:lvlOverride w:ilvl="5">
      <w:startOverride w:val="1"/>
      <w:lvl w:ilvl="5" w:tplc="C682ECDE">
        <w:start w:val="1"/>
        <w:numFmt w:val="decimal"/>
        <w:lvlText w:val=""/>
        <w:lvlJc w:val="left"/>
      </w:lvl>
    </w:lvlOverride>
    <w:lvlOverride w:ilvl="6">
      <w:startOverride w:val="1"/>
      <w:lvl w:ilvl="6" w:tplc="C8E694B0">
        <w:start w:val="1"/>
        <w:numFmt w:val="decimal"/>
        <w:lvlText w:val=""/>
        <w:lvlJc w:val="left"/>
      </w:lvl>
    </w:lvlOverride>
    <w:lvlOverride w:ilvl="7">
      <w:startOverride w:val="1"/>
      <w:lvl w:ilvl="7" w:tplc="8A124080">
        <w:start w:val="1"/>
        <w:numFmt w:val="decimal"/>
        <w:lvlText w:val=""/>
        <w:lvlJc w:val="left"/>
      </w:lvl>
    </w:lvlOverride>
    <w:lvlOverride w:ilvl="8">
      <w:startOverride w:val="1"/>
      <w:lvl w:ilvl="8" w:tplc="F98407F4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ED"/>
    <w:rsid w:val="00052B2F"/>
    <w:rsid w:val="00070E7A"/>
    <w:rsid w:val="00084046"/>
    <w:rsid w:val="000D154F"/>
    <w:rsid w:val="002A7DA9"/>
    <w:rsid w:val="002E2833"/>
    <w:rsid w:val="002F5D90"/>
    <w:rsid w:val="00357BD1"/>
    <w:rsid w:val="00392418"/>
    <w:rsid w:val="003D74D7"/>
    <w:rsid w:val="00492843"/>
    <w:rsid w:val="004C5DE7"/>
    <w:rsid w:val="004C66B6"/>
    <w:rsid w:val="004D629F"/>
    <w:rsid w:val="00500BED"/>
    <w:rsid w:val="005F1C55"/>
    <w:rsid w:val="006140DE"/>
    <w:rsid w:val="00625EEC"/>
    <w:rsid w:val="00626177"/>
    <w:rsid w:val="00644E94"/>
    <w:rsid w:val="00661CE4"/>
    <w:rsid w:val="006B0885"/>
    <w:rsid w:val="006D227E"/>
    <w:rsid w:val="006F387F"/>
    <w:rsid w:val="00700572"/>
    <w:rsid w:val="00700ED6"/>
    <w:rsid w:val="007A15B9"/>
    <w:rsid w:val="007C195C"/>
    <w:rsid w:val="007F0130"/>
    <w:rsid w:val="007F1FE8"/>
    <w:rsid w:val="008650BB"/>
    <w:rsid w:val="00880096"/>
    <w:rsid w:val="0091399E"/>
    <w:rsid w:val="009246E8"/>
    <w:rsid w:val="009A1926"/>
    <w:rsid w:val="009B09F9"/>
    <w:rsid w:val="00A503E7"/>
    <w:rsid w:val="00A8341A"/>
    <w:rsid w:val="00AB616E"/>
    <w:rsid w:val="00AF0A24"/>
    <w:rsid w:val="00BE4CD8"/>
    <w:rsid w:val="00C337AC"/>
    <w:rsid w:val="00C365AD"/>
    <w:rsid w:val="00C43249"/>
    <w:rsid w:val="00C94372"/>
    <w:rsid w:val="00CA25FB"/>
    <w:rsid w:val="00D069B0"/>
    <w:rsid w:val="00DA505E"/>
    <w:rsid w:val="00DE1B78"/>
    <w:rsid w:val="00E50161"/>
    <w:rsid w:val="00E6338F"/>
    <w:rsid w:val="00E67735"/>
    <w:rsid w:val="00E72FB4"/>
    <w:rsid w:val="00EE0EF1"/>
    <w:rsid w:val="00FC6F33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805"/>
  <w15:docId w15:val="{CA4A3DFB-BC46-4CBC-9302-667A8064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26"/>
    <w:qFormat/>
    <w:rsid w:val="00070E7A"/>
    <w:pPr>
      <w:ind w:left="720"/>
      <w:contextualSpacing/>
    </w:pPr>
  </w:style>
  <w:style w:type="paragraph" w:styleId="Revision">
    <w:name w:val="Revision"/>
    <w:hidden/>
    <w:uiPriority w:val="99"/>
    <w:semiHidden/>
    <w:rsid w:val="002F5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9BCD8-A09E-40AE-92B2-695CC71CB31E}"/>
</file>

<file path=customXml/itemProps2.xml><?xml version="1.0" encoding="utf-8"?>
<ds:datastoreItem xmlns:ds="http://schemas.openxmlformats.org/officeDocument/2006/customXml" ds:itemID="{7A493B65-7904-40F5-8F7F-D745D7E18BF7}"/>
</file>

<file path=customXml/itemProps3.xml><?xml version="1.0" encoding="utf-8"?>
<ds:datastoreItem xmlns:ds="http://schemas.openxmlformats.org/officeDocument/2006/customXml" ds:itemID="{E8F9B225-CC30-493F-8003-FEFF79EFA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</dc:creator>
  <cp:lastModifiedBy>Irakli Jgenti</cp:lastModifiedBy>
  <cp:revision>2</cp:revision>
  <cp:lastPrinted>2018-05-03T11:45:00Z</cp:lastPrinted>
  <dcterms:created xsi:type="dcterms:W3CDTF">2018-05-07T06:23:00Z</dcterms:created>
  <dcterms:modified xsi:type="dcterms:W3CDTF">2018-05-07T06:23:00Z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