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8FC7" w14:textId="77777777" w:rsidR="00E92C21" w:rsidRPr="00954DC9" w:rsidRDefault="00E92C21" w:rsidP="00E92C21">
      <w:pPr>
        <w:ind w:left="720"/>
        <w:jc w:val="center"/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343ED9B" wp14:editId="1FFF3159">
                <wp:simplePos x="0" y="0"/>
                <wp:positionH relativeFrom="column">
                  <wp:posOffset>-1257300</wp:posOffset>
                </wp:positionH>
                <wp:positionV relativeFrom="paragraph">
                  <wp:posOffset>-95251</wp:posOffset>
                </wp:positionV>
                <wp:extent cx="6200775" cy="0"/>
                <wp:effectExtent l="0" t="0" r="22225" b="254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98.95pt;margin-top:-7.45pt;width:488.25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" strokeweight="1.5pt"/>
            </w:pict>
          </mc:Fallback>
        </mc:AlternateContent>
      </w:r>
      <w:r w:rsidRPr="00954DC9"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1312" behindDoc="0" locked="0" layoutInCell="1" allowOverlap="1" wp14:anchorId="1C14D53D" wp14:editId="66453796">
            <wp:simplePos x="0" y="0"/>
            <wp:positionH relativeFrom="column">
              <wp:posOffset>571500</wp:posOffset>
            </wp:positionH>
            <wp:positionV relativeFrom="paragraph">
              <wp:posOffset>-31115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4DC9">
        <w:rPr>
          <w:rFonts w:ascii="Times New Roman" w:hAnsi="Times New Roman" w:cs="Times New Roman"/>
          <w:b/>
          <w:sz w:val="80"/>
          <w:szCs w:val="80"/>
        </w:rPr>
        <w:t>PHILIPPINES</w:t>
      </w:r>
    </w:p>
    <w:p w14:paraId="2ACCAFFE" w14:textId="77777777" w:rsidR="00E92C21" w:rsidRDefault="00E92C21" w:rsidP="00E92C21"/>
    <w:p w14:paraId="09886FEE" w14:textId="77777777" w:rsidR="00E92C21" w:rsidRPr="0088510B" w:rsidRDefault="00E92C21" w:rsidP="00E92C21">
      <w:pPr>
        <w:rPr>
          <w:sz w:val="10"/>
        </w:rPr>
      </w:pPr>
    </w:p>
    <w:p w14:paraId="523AA9F8" w14:textId="77777777" w:rsidR="00E92C21" w:rsidRDefault="00E92C21" w:rsidP="00E92C21"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87258B3" wp14:editId="25C19163">
                <wp:simplePos x="0" y="0"/>
                <wp:positionH relativeFrom="column">
                  <wp:posOffset>219075</wp:posOffset>
                </wp:positionH>
                <wp:positionV relativeFrom="paragraph">
                  <wp:posOffset>13334</wp:posOffset>
                </wp:positionV>
                <wp:extent cx="6200775" cy="0"/>
                <wp:effectExtent l="0" t="0" r="2222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17.25pt;margin-top:1.05pt;width:488.25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xNbR0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" strokeweight="1.5pt"/>
            </w:pict>
          </mc:Fallback>
        </mc:AlternateContent>
      </w:r>
    </w:p>
    <w:p w14:paraId="2F9764E3" w14:textId="77777777" w:rsidR="00E92C21" w:rsidRPr="007D4C2B" w:rsidRDefault="00E92C21" w:rsidP="00E92C21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14:paraId="5E06317A" w14:textId="77777777" w:rsidR="00E92C21" w:rsidRPr="00AB0F8B" w:rsidRDefault="00E92C21" w:rsidP="00E92C21">
      <w:pPr>
        <w:jc w:val="center"/>
        <w:rPr>
          <w:rFonts w:cs="Arial"/>
          <w:b/>
          <w:lang w:val="en-US"/>
        </w:rPr>
      </w:pPr>
      <w:r w:rsidRPr="00AB0F8B">
        <w:rPr>
          <w:rFonts w:cs="Arial"/>
          <w:b/>
          <w:lang w:val="en-US"/>
        </w:rPr>
        <w:t>Working Group on the Universal Periodic Review</w:t>
      </w:r>
    </w:p>
    <w:p w14:paraId="2EA50D6F" w14:textId="336A7C2E" w:rsidR="00E92C21" w:rsidRDefault="007B469D" w:rsidP="007B469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30</w:t>
      </w:r>
      <w:r w:rsidRPr="007B469D">
        <w:rPr>
          <w:rFonts w:cs="Arial"/>
          <w:b/>
          <w:bCs/>
          <w:vertAlign w:val="superscript"/>
          <w:lang w:val="en-US"/>
        </w:rPr>
        <w:t>th</w:t>
      </w:r>
      <w:r>
        <w:rPr>
          <w:rFonts w:cs="Arial"/>
          <w:b/>
          <w:bCs/>
          <w:lang w:val="en-US"/>
        </w:rPr>
        <w:t xml:space="preserve"> Session, 3</w:t>
      </w:r>
      <w:r w:rsidRPr="007B469D">
        <w:rPr>
          <w:rFonts w:cs="Arial"/>
          <w:b/>
          <w:bCs/>
          <w:vertAlign w:val="superscript"/>
          <w:lang w:val="en-US"/>
        </w:rPr>
        <w:t>rd</w:t>
      </w:r>
      <w:r>
        <w:rPr>
          <w:rFonts w:cs="Arial"/>
          <w:b/>
          <w:bCs/>
          <w:lang w:val="en-US"/>
        </w:rPr>
        <w:t xml:space="preserve"> Cycle</w:t>
      </w:r>
    </w:p>
    <w:p w14:paraId="0D011552" w14:textId="77777777" w:rsidR="00E92C21" w:rsidRPr="00AB0F8B" w:rsidRDefault="00E92C21" w:rsidP="00E92C21">
      <w:pPr>
        <w:jc w:val="center"/>
        <w:rPr>
          <w:rFonts w:cs="Arial"/>
          <w:b/>
          <w:bCs/>
          <w:lang w:val="en-US"/>
        </w:rPr>
      </w:pPr>
    </w:p>
    <w:p w14:paraId="7D9BB4E4" w14:textId="7017377D" w:rsidR="00E92C21" w:rsidRDefault="00E92C21" w:rsidP="00E92C21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UPR of TURKMENISTAN</w:t>
      </w:r>
    </w:p>
    <w:p w14:paraId="59778151" w14:textId="796E3937" w:rsidR="00E92C21" w:rsidRDefault="00D62C41" w:rsidP="00E92C21">
      <w:pPr>
        <w:jc w:val="center"/>
        <w:rPr>
          <w:rFonts w:cs="Arial"/>
        </w:rPr>
      </w:pPr>
      <w:r>
        <w:rPr>
          <w:rFonts w:cs="Arial"/>
        </w:rPr>
        <w:t>Salle XX</w:t>
      </w:r>
      <w:bookmarkStart w:id="0" w:name="_GoBack"/>
      <w:bookmarkEnd w:id="0"/>
      <w:r w:rsidR="00E92C21">
        <w:rPr>
          <w:rFonts w:cs="Arial"/>
        </w:rPr>
        <w:t xml:space="preserve">, Palais des Nations, Geneva </w:t>
      </w:r>
    </w:p>
    <w:p w14:paraId="58A8EF3E" w14:textId="77777777" w:rsidR="00E92C21" w:rsidRDefault="00E92C21" w:rsidP="00E92C21">
      <w:pPr>
        <w:rPr>
          <w:rFonts w:cs="Arial"/>
          <w:szCs w:val="24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7 May 2018</w:t>
      </w:r>
    </w:p>
    <w:p w14:paraId="63EF1029" w14:textId="77777777" w:rsidR="00E92C21" w:rsidRDefault="00E92C21" w:rsidP="00E92C21">
      <w:pPr>
        <w:rPr>
          <w:rFonts w:cs="Arial"/>
          <w:szCs w:val="24"/>
        </w:rPr>
      </w:pPr>
    </w:p>
    <w:p w14:paraId="654BF1A6" w14:textId="77777777" w:rsidR="00126A03" w:rsidRDefault="00126A03" w:rsidP="00E92C21">
      <w:pPr>
        <w:rPr>
          <w:rFonts w:cs="Arial"/>
          <w:szCs w:val="24"/>
        </w:rPr>
      </w:pPr>
    </w:p>
    <w:p w14:paraId="2D8257B4" w14:textId="11156C3C" w:rsidR="00E92C21" w:rsidRPr="00467535" w:rsidRDefault="00126A03" w:rsidP="00E92C21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Than</w:t>
      </w:r>
      <w:r w:rsidR="00DB757D">
        <w:rPr>
          <w:rFonts w:cs="Arial"/>
          <w:sz w:val="26"/>
          <w:szCs w:val="26"/>
        </w:rPr>
        <w:t>k</w:t>
      </w:r>
      <w:r>
        <w:rPr>
          <w:rFonts w:cs="Arial"/>
          <w:sz w:val="26"/>
          <w:szCs w:val="26"/>
        </w:rPr>
        <w:t xml:space="preserve"> you </w:t>
      </w:r>
      <w:r w:rsidR="00E92C21" w:rsidRPr="00467535">
        <w:rPr>
          <w:rFonts w:cs="Arial"/>
          <w:sz w:val="26"/>
          <w:szCs w:val="26"/>
        </w:rPr>
        <w:t>Mister President</w:t>
      </w:r>
      <w:r w:rsidR="006F0775">
        <w:rPr>
          <w:rFonts w:cs="Arial"/>
          <w:sz w:val="26"/>
          <w:szCs w:val="26"/>
        </w:rPr>
        <w:t>.</w:t>
      </w:r>
    </w:p>
    <w:p w14:paraId="7C6B6B87" w14:textId="77777777" w:rsidR="00E92C21" w:rsidRPr="00467535" w:rsidRDefault="00E92C21" w:rsidP="00E92C21">
      <w:pPr>
        <w:jc w:val="both"/>
        <w:rPr>
          <w:rFonts w:cs="Arial"/>
          <w:sz w:val="26"/>
          <w:szCs w:val="26"/>
        </w:rPr>
      </w:pPr>
    </w:p>
    <w:p w14:paraId="400923C3" w14:textId="77777777" w:rsidR="00E92C21" w:rsidRPr="00467535" w:rsidRDefault="00E92C21" w:rsidP="00E92C21">
      <w:pPr>
        <w:jc w:val="both"/>
        <w:rPr>
          <w:sz w:val="26"/>
          <w:szCs w:val="26"/>
        </w:rPr>
      </w:pPr>
      <w:r w:rsidRPr="00467535">
        <w:rPr>
          <w:rFonts w:cs="Arial"/>
          <w:sz w:val="26"/>
          <w:szCs w:val="26"/>
        </w:rPr>
        <w:t>The Philippine delegation warmly welcomes the delegation of the Turkmenistan to the 3</w:t>
      </w:r>
      <w:r w:rsidRPr="00467535">
        <w:rPr>
          <w:rFonts w:cs="Arial"/>
          <w:sz w:val="26"/>
          <w:szCs w:val="26"/>
          <w:vertAlign w:val="superscript"/>
        </w:rPr>
        <w:t>rd</w:t>
      </w:r>
      <w:r w:rsidRPr="00467535">
        <w:rPr>
          <w:rFonts w:cs="Arial"/>
          <w:sz w:val="26"/>
          <w:szCs w:val="26"/>
        </w:rPr>
        <w:t xml:space="preserve"> Cycle of the UPR process.</w:t>
      </w:r>
    </w:p>
    <w:p w14:paraId="39ADC449" w14:textId="77777777" w:rsidR="00E92C21" w:rsidRPr="00467535" w:rsidRDefault="00E92C21" w:rsidP="00E92C21">
      <w:pPr>
        <w:jc w:val="both"/>
        <w:rPr>
          <w:sz w:val="26"/>
          <w:szCs w:val="26"/>
        </w:rPr>
      </w:pPr>
    </w:p>
    <w:p w14:paraId="5A4FF331" w14:textId="77777777" w:rsidR="00384512" w:rsidRPr="00467535" w:rsidRDefault="00384512" w:rsidP="00E92C21">
      <w:pPr>
        <w:jc w:val="both"/>
        <w:rPr>
          <w:sz w:val="26"/>
          <w:szCs w:val="26"/>
        </w:rPr>
      </w:pPr>
      <w:r w:rsidRPr="00467535">
        <w:rPr>
          <w:sz w:val="26"/>
          <w:szCs w:val="26"/>
        </w:rPr>
        <w:t xml:space="preserve">The Philippines congratulates Turkmenistan for the adoption in 2016 of its new Constitution. We note </w:t>
      </w:r>
      <w:r w:rsidR="00467535">
        <w:rPr>
          <w:sz w:val="26"/>
          <w:szCs w:val="26"/>
        </w:rPr>
        <w:t xml:space="preserve">with appreciation </w:t>
      </w:r>
      <w:r w:rsidRPr="00467535">
        <w:rPr>
          <w:sz w:val="26"/>
          <w:szCs w:val="26"/>
        </w:rPr>
        <w:t xml:space="preserve">in particular the 11 new articles in </w:t>
      </w:r>
      <w:r w:rsidR="00467535">
        <w:rPr>
          <w:sz w:val="26"/>
          <w:szCs w:val="26"/>
        </w:rPr>
        <w:t xml:space="preserve">the </w:t>
      </w:r>
      <w:r w:rsidRPr="00467535">
        <w:rPr>
          <w:sz w:val="26"/>
          <w:szCs w:val="26"/>
        </w:rPr>
        <w:t>new Constitution that safeguard civil rights and fundamental freedoms.</w:t>
      </w:r>
    </w:p>
    <w:p w14:paraId="4831945D" w14:textId="77777777" w:rsidR="00384512" w:rsidRPr="00467535" w:rsidRDefault="00384512" w:rsidP="00E92C21">
      <w:pPr>
        <w:jc w:val="both"/>
        <w:rPr>
          <w:sz w:val="26"/>
          <w:szCs w:val="26"/>
        </w:rPr>
      </w:pPr>
    </w:p>
    <w:p w14:paraId="31158D67" w14:textId="77777777" w:rsidR="00E92C21" w:rsidRPr="00467535" w:rsidRDefault="00E92C21" w:rsidP="00E92C21">
      <w:pPr>
        <w:jc w:val="both"/>
        <w:rPr>
          <w:sz w:val="26"/>
          <w:szCs w:val="26"/>
        </w:rPr>
      </w:pPr>
      <w:r w:rsidRPr="00467535">
        <w:rPr>
          <w:sz w:val="26"/>
          <w:szCs w:val="26"/>
        </w:rPr>
        <w:t xml:space="preserve">The Philippines commends Turkmenistan for ratifying several international human rights treaties and conventions.  We </w:t>
      </w:r>
      <w:r w:rsidR="00467535" w:rsidRPr="00467535">
        <w:rPr>
          <w:sz w:val="26"/>
          <w:szCs w:val="26"/>
        </w:rPr>
        <w:t>welcome</w:t>
      </w:r>
      <w:r w:rsidRPr="00467535">
        <w:rPr>
          <w:sz w:val="26"/>
          <w:szCs w:val="26"/>
        </w:rPr>
        <w:t xml:space="preserve"> its initiatives to implement policies that promote and protect the rights of women and children.</w:t>
      </w:r>
      <w:r w:rsidR="00384512" w:rsidRPr="00467535">
        <w:rPr>
          <w:sz w:val="26"/>
          <w:szCs w:val="26"/>
        </w:rPr>
        <w:t xml:space="preserve"> We recommend that Turkmenistan </w:t>
      </w:r>
      <w:r w:rsidR="00467535" w:rsidRPr="00467535">
        <w:rPr>
          <w:sz w:val="26"/>
          <w:szCs w:val="26"/>
        </w:rPr>
        <w:t>allocate</w:t>
      </w:r>
      <w:r w:rsidR="00384512" w:rsidRPr="00467535">
        <w:rPr>
          <w:sz w:val="26"/>
          <w:szCs w:val="26"/>
        </w:rPr>
        <w:t xml:space="preserve"> sufficient human and financial resources to sustainably implement these human rights policies.</w:t>
      </w:r>
    </w:p>
    <w:p w14:paraId="22DE6530" w14:textId="77777777" w:rsidR="00E92C21" w:rsidRPr="00467535" w:rsidRDefault="00E92C21" w:rsidP="00E92C21">
      <w:pPr>
        <w:jc w:val="both"/>
        <w:rPr>
          <w:sz w:val="26"/>
          <w:szCs w:val="26"/>
        </w:rPr>
      </w:pPr>
    </w:p>
    <w:p w14:paraId="4F05C837" w14:textId="7AF52CA9" w:rsidR="00E92C21" w:rsidRPr="006F0775" w:rsidRDefault="00467535" w:rsidP="00E92C21">
      <w:pPr>
        <w:jc w:val="both"/>
        <w:rPr>
          <w:rFonts w:cs="Arial"/>
          <w:color w:val="000000" w:themeColor="text1"/>
          <w:sz w:val="26"/>
          <w:szCs w:val="26"/>
        </w:rPr>
      </w:pPr>
      <w:r w:rsidRPr="00467535">
        <w:rPr>
          <w:sz w:val="26"/>
          <w:szCs w:val="26"/>
        </w:rPr>
        <w:t>The Philippines lauds</w:t>
      </w:r>
      <w:r w:rsidR="00E92C21" w:rsidRPr="00467535">
        <w:rPr>
          <w:sz w:val="26"/>
          <w:szCs w:val="26"/>
        </w:rPr>
        <w:t xml:space="preserve"> Turkmenistan’s commitment to </w:t>
      </w:r>
      <w:r w:rsidRPr="00467535">
        <w:rPr>
          <w:sz w:val="26"/>
          <w:szCs w:val="26"/>
        </w:rPr>
        <w:t>review</w:t>
      </w:r>
      <w:r w:rsidR="00384512" w:rsidRPr="00467535">
        <w:rPr>
          <w:sz w:val="26"/>
          <w:szCs w:val="26"/>
        </w:rPr>
        <w:t xml:space="preserve"> other human rights treaties</w:t>
      </w:r>
      <w:r w:rsidR="00384512" w:rsidRPr="00467535">
        <w:rPr>
          <w:rFonts w:cs="Arial"/>
          <w:color w:val="000000" w:themeColor="text1"/>
          <w:sz w:val="26"/>
          <w:szCs w:val="26"/>
        </w:rPr>
        <w:t xml:space="preserve"> with a view to ratify these </w:t>
      </w:r>
      <w:r w:rsidR="006F0775">
        <w:rPr>
          <w:rFonts w:cs="Arial"/>
          <w:color w:val="000000" w:themeColor="text1"/>
          <w:sz w:val="26"/>
          <w:szCs w:val="26"/>
        </w:rPr>
        <w:t>treaties. In this regard, w</w:t>
      </w:r>
      <w:r w:rsidR="00384512" w:rsidRPr="00467535">
        <w:rPr>
          <w:rFonts w:cs="Arial"/>
          <w:color w:val="000000" w:themeColor="text1"/>
          <w:sz w:val="26"/>
          <w:szCs w:val="26"/>
        </w:rPr>
        <w:t>e recommend that Turkmenistan accelerate its efforts towards acceding and fully implement</w:t>
      </w:r>
      <w:r>
        <w:rPr>
          <w:rFonts w:cs="Arial"/>
          <w:color w:val="000000" w:themeColor="text1"/>
          <w:sz w:val="26"/>
          <w:szCs w:val="26"/>
        </w:rPr>
        <w:t>ing</w:t>
      </w:r>
      <w:r w:rsidR="00384512" w:rsidRPr="00467535">
        <w:rPr>
          <w:rFonts w:cs="Arial"/>
          <w:color w:val="000000" w:themeColor="text1"/>
          <w:sz w:val="26"/>
          <w:szCs w:val="26"/>
        </w:rPr>
        <w:t xml:space="preserve"> the 1954 and 1961 Statelessness Conventions</w:t>
      </w:r>
      <w:r w:rsidR="00384512" w:rsidRPr="00467535">
        <w:rPr>
          <w:sz w:val="26"/>
          <w:szCs w:val="26"/>
        </w:rPr>
        <w:t>.  We also recommend that Turkmenistan consider ratifying the ICRMW</w:t>
      </w:r>
      <w:r w:rsidR="00384512" w:rsidRPr="00467535">
        <w:rPr>
          <w:rStyle w:val="FootnoteReference"/>
          <w:sz w:val="26"/>
          <w:szCs w:val="26"/>
        </w:rPr>
        <w:footnoteReference w:id="1"/>
      </w:r>
      <w:r w:rsidRPr="00467535">
        <w:rPr>
          <w:sz w:val="26"/>
          <w:szCs w:val="26"/>
        </w:rPr>
        <w:t xml:space="preserve"> </w:t>
      </w:r>
      <w:r w:rsidR="00384512" w:rsidRPr="00467535">
        <w:rPr>
          <w:sz w:val="26"/>
          <w:szCs w:val="26"/>
        </w:rPr>
        <w:t>and ILO Convention 189.</w:t>
      </w:r>
    </w:p>
    <w:p w14:paraId="2BDEC969" w14:textId="77777777" w:rsidR="00384512" w:rsidRPr="00467535" w:rsidRDefault="00384512" w:rsidP="00E92C21">
      <w:pPr>
        <w:jc w:val="both"/>
        <w:rPr>
          <w:sz w:val="26"/>
          <w:szCs w:val="26"/>
        </w:rPr>
      </w:pPr>
    </w:p>
    <w:p w14:paraId="1CE19C69" w14:textId="77777777" w:rsidR="00E92C21" w:rsidRPr="00467535" w:rsidRDefault="00E92C21" w:rsidP="00E92C21">
      <w:pPr>
        <w:jc w:val="both"/>
        <w:rPr>
          <w:sz w:val="26"/>
          <w:szCs w:val="26"/>
        </w:rPr>
      </w:pPr>
      <w:r w:rsidRPr="00467535">
        <w:rPr>
          <w:sz w:val="26"/>
          <w:szCs w:val="26"/>
        </w:rPr>
        <w:t>The P</w:t>
      </w:r>
      <w:r w:rsidR="00384512" w:rsidRPr="00467535">
        <w:rPr>
          <w:sz w:val="26"/>
          <w:szCs w:val="26"/>
        </w:rPr>
        <w:t>hilippines also commends the Turkmenistan</w:t>
      </w:r>
      <w:r w:rsidRPr="00467535">
        <w:rPr>
          <w:sz w:val="26"/>
          <w:szCs w:val="26"/>
        </w:rPr>
        <w:t xml:space="preserve"> for its work in fighting human trafficking and providing protection, rehabilitation, and assistance to victims of trafficking</w:t>
      </w:r>
      <w:r w:rsidR="00467535">
        <w:rPr>
          <w:sz w:val="26"/>
          <w:szCs w:val="26"/>
        </w:rPr>
        <w:t>, including the formulation of the Action Plan Against Trafficking</w:t>
      </w:r>
      <w:r w:rsidRPr="00467535">
        <w:rPr>
          <w:sz w:val="26"/>
          <w:szCs w:val="26"/>
        </w:rPr>
        <w:t xml:space="preserve">. </w:t>
      </w:r>
    </w:p>
    <w:p w14:paraId="163A24C4" w14:textId="77777777" w:rsidR="00E92C21" w:rsidRPr="00467535" w:rsidRDefault="00E92C21" w:rsidP="00E92C21">
      <w:pPr>
        <w:jc w:val="both"/>
        <w:rPr>
          <w:sz w:val="26"/>
          <w:szCs w:val="26"/>
        </w:rPr>
      </w:pPr>
    </w:p>
    <w:p w14:paraId="4FA124A8" w14:textId="77777777" w:rsidR="00E92C21" w:rsidRPr="00467535" w:rsidRDefault="00E92C21" w:rsidP="00E92C21">
      <w:pPr>
        <w:jc w:val="both"/>
        <w:rPr>
          <w:sz w:val="26"/>
          <w:szCs w:val="26"/>
        </w:rPr>
      </w:pPr>
      <w:r w:rsidRPr="00467535">
        <w:rPr>
          <w:sz w:val="26"/>
          <w:szCs w:val="26"/>
        </w:rPr>
        <w:t xml:space="preserve">The Philippines wishes the </w:t>
      </w:r>
      <w:r w:rsidR="00467535" w:rsidRPr="00467535">
        <w:rPr>
          <w:sz w:val="26"/>
          <w:szCs w:val="26"/>
        </w:rPr>
        <w:t>Turkmenistan</w:t>
      </w:r>
      <w:r w:rsidRPr="00467535">
        <w:rPr>
          <w:sz w:val="26"/>
          <w:szCs w:val="26"/>
        </w:rPr>
        <w:t xml:space="preserve"> success in the continued implementation of its accepted recommendations.</w:t>
      </w:r>
    </w:p>
    <w:p w14:paraId="7408165F" w14:textId="77777777" w:rsidR="00E92C21" w:rsidRPr="00467535" w:rsidRDefault="00E92C21" w:rsidP="00E92C21">
      <w:pPr>
        <w:jc w:val="both"/>
        <w:rPr>
          <w:sz w:val="26"/>
          <w:szCs w:val="26"/>
        </w:rPr>
      </w:pPr>
    </w:p>
    <w:p w14:paraId="754F3671" w14:textId="2ABF3A9E" w:rsidR="00E92C21" w:rsidRPr="00467535" w:rsidRDefault="00126A03" w:rsidP="00E92C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Thank you </w:t>
      </w:r>
      <w:r w:rsidR="00E92C21" w:rsidRPr="00467535">
        <w:rPr>
          <w:sz w:val="26"/>
          <w:szCs w:val="26"/>
        </w:rPr>
        <w:t>Mr. President.</w:t>
      </w:r>
    </w:p>
    <w:p w14:paraId="7AE877AC" w14:textId="77777777" w:rsidR="001A5E34" w:rsidRDefault="001A5E34"/>
    <w:sectPr w:rsidR="001A5E34" w:rsidSect="00E92C21">
      <w:headerReference w:type="default" r:id="rId9"/>
      <w:footerReference w:type="default" r:id="rId10"/>
      <w:pgSz w:w="11906" w:h="16838"/>
      <w:pgMar w:top="454" w:right="851" w:bottom="454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A720" w14:textId="77777777" w:rsidR="001C436E" w:rsidRDefault="001C436E" w:rsidP="00E92C21">
      <w:r>
        <w:separator/>
      </w:r>
    </w:p>
  </w:endnote>
  <w:endnote w:type="continuationSeparator" w:id="0">
    <w:p w14:paraId="0EC38D77" w14:textId="77777777" w:rsidR="001C436E" w:rsidRDefault="001C436E" w:rsidP="00E9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84F9C" w14:textId="77777777" w:rsidR="00126A03" w:rsidRPr="00FF2D2A" w:rsidRDefault="00126A03" w:rsidP="00E92C21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AND OTHER INTERNATIONAL ORGANIZATIONS IN GENEVA </w:t>
    </w:r>
  </w:p>
  <w:p w14:paraId="78B2BAA2" w14:textId="77777777" w:rsidR="00126A03" w:rsidRPr="00FF2D2A" w:rsidRDefault="00126A03" w:rsidP="00E92C21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7BAEC412" w14:textId="77777777" w:rsidR="00126A03" w:rsidRDefault="0012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F15C7" w14:textId="77777777" w:rsidR="001C436E" w:rsidRDefault="001C436E" w:rsidP="00E92C21">
      <w:r>
        <w:separator/>
      </w:r>
    </w:p>
  </w:footnote>
  <w:footnote w:type="continuationSeparator" w:id="0">
    <w:p w14:paraId="07F3658F" w14:textId="77777777" w:rsidR="001C436E" w:rsidRDefault="001C436E" w:rsidP="00E92C21">
      <w:r>
        <w:continuationSeparator/>
      </w:r>
    </w:p>
  </w:footnote>
  <w:footnote w:id="1">
    <w:p w14:paraId="3B85F9F0" w14:textId="77777777" w:rsidR="00126A03" w:rsidRDefault="00126A03" w:rsidP="00384512">
      <w:pPr>
        <w:pStyle w:val="FootnoteText"/>
      </w:pPr>
      <w:r>
        <w:rPr>
          <w:rStyle w:val="FootnoteReference"/>
        </w:rPr>
        <w:footnoteRef/>
      </w:r>
      <w:r>
        <w:t xml:space="preserve"> International Convention on the Protection of the Rights of All Migrant Workers and Members of Their Families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BFCF9" w14:textId="77777777" w:rsidR="00126A03" w:rsidRDefault="00126A03" w:rsidP="00E92C21">
    <w:pPr>
      <w:pStyle w:val="Header"/>
      <w:jc w:val="right"/>
    </w:pPr>
  </w:p>
  <w:p w14:paraId="72B4DBE8" w14:textId="77777777" w:rsidR="00126A03" w:rsidRDefault="00126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7925"/>
    <w:multiLevelType w:val="hybridMultilevel"/>
    <w:tmpl w:val="AFE0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1"/>
    <w:rsid w:val="00126A03"/>
    <w:rsid w:val="001A5E34"/>
    <w:rsid w:val="001C436E"/>
    <w:rsid w:val="00360B97"/>
    <w:rsid w:val="00384512"/>
    <w:rsid w:val="00466FB6"/>
    <w:rsid w:val="00467535"/>
    <w:rsid w:val="00594C89"/>
    <w:rsid w:val="006F0775"/>
    <w:rsid w:val="007B1665"/>
    <w:rsid w:val="007B469D"/>
    <w:rsid w:val="00D62C41"/>
    <w:rsid w:val="00DB757D"/>
    <w:rsid w:val="00E92C21"/>
    <w:rsid w:val="00F5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8D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21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21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21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92C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92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2C21"/>
    <w:rPr>
      <w:rFonts w:ascii="Arial" w:eastAsiaTheme="minorHAnsi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2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21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21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2C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21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92C2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92C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2C21"/>
    <w:rPr>
      <w:rFonts w:ascii="Arial" w:eastAsiaTheme="minorHAnsi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92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8EE01-BFE2-4815-A579-3F5D29167328}"/>
</file>

<file path=customXml/itemProps2.xml><?xml version="1.0" encoding="utf-8"?>
<ds:datastoreItem xmlns:ds="http://schemas.openxmlformats.org/officeDocument/2006/customXml" ds:itemID="{A7F135BC-07FF-446B-BFC9-903D41F0C6C5}"/>
</file>

<file path=customXml/itemProps3.xml><?xml version="1.0" encoding="utf-8"?>
<ds:datastoreItem xmlns:ds="http://schemas.openxmlformats.org/officeDocument/2006/customXml" ds:itemID="{767CEDEA-C791-4B26-AAE2-1E308F725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Chona </cp:lastModifiedBy>
  <cp:revision>3</cp:revision>
  <cp:lastPrinted>2018-05-04T17:52:00Z</cp:lastPrinted>
  <dcterms:created xsi:type="dcterms:W3CDTF">2018-05-09T08:30:00Z</dcterms:created>
  <dcterms:modified xsi:type="dcterms:W3CDTF">2018-05-09T08:31:00Z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