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47A3CCC" w14:textId="77777777" w:rsidR="0000349A" w:rsidRPr="00954DC9" w:rsidRDefault="0000349A" w:rsidP="0000349A">
      <w:pPr>
        <w:ind w:left="720"/>
        <w:jc w:val="center"/>
        <w:rPr>
          <w:sz w:val="80"/>
          <w:szCs w:val="80"/>
        </w:rPr>
      </w:pPr>
      <w:r>
        <w:rPr>
          <w:noProof/>
          <w:sz w:val="80"/>
          <w:szCs w:val="80"/>
          <w:lang w:eastAsia="en-GB"/>
        </w:rPr>
        <mc:AlternateContent>
          <mc:Choice Requires="wps">
            <w:drawing>
              <wp:anchor distT="4294967295" distB="4294967295" distL="114300" distR="114300" simplePos="0" relativeHeight="251659264" behindDoc="0" locked="0" layoutInCell="1" allowOverlap="1" wp14:anchorId="5E22340E" wp14:editId="6133E9F4">
                <wp:simplePos x="0" y="0"/>
                <wp:positionH relativeFrom="column">
                  <wp:posOffset>-1257300</wp:posOffset>
                </wp:positionH>
                <wp:positionV relativeFrom="paragraph">
                  <wp:posOffset>-95251</wp:posOffset>
                </wp:positionV>
                <wp:extent cx="6200775" cy="0"/>
                <wp:effectExtent l="0" t="0" r="22225" b="254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3" o:spid="_x0000_s1026" type="#_x0000_t32" style="position:absolute;margin-left:-98.95pt;margin-top:-7.45pt;width:488.25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" strokeweight="1.5pt"/>
            </w:pict>
          </mc:Fallback>
        </mc:AlternateContent>
      </w:r>
      <w:r w:rsidRPr="00954DC9">
        <w:rPr>
          <w:noProof/>
          <w:sz w:val="80"/>
          <w:szCs w:val="80"/>
          <w:lang w:eastAsia="en-GB"/>
        </w:rPr>
        <w:drawing>
          <wp:anchor distT="0" distB="0" distL="114300" distR="114300" simplePos="0" relativeHeight="251661312" behindDoc="0" locked="0" layoutInCell="1" allowOverlap="1" wp14:anchorId="1FA332EC" wp14:editId="52E5562F">
            <wp:simplePos x="0" y="0"/>
            <wp:positionH relativeFrom="column">
              <wp:posOffset>571500</wp:posOffset>
            </wp:positionH>
            <wp:positionV relativeFrom="paragraph">
              <wp:posOffset>-31115</wp:posOffset>
            </wp:positionV>
            <wp:extent cx="800100" cy="800100"/>
            <wp:effectExtent l="0" t="0" r="0" b="0"/>
            <wp:wrapThrough wrapText="bothSides">
              <wp:wrapPolygon edited="0">
                <wp:start x="0" y="0"/>
                <wp:lineTo x="0" y="21086"/>
                <wp:lineTo x="21086" y="21086"/>
                <wp:lineTo x="21086" y="0"/>
                <wp:lineTo x="0"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Pr="00954DC9">
        <w:rPr>
          <w:rFonts w:ascii="Times New Roman" w:hAnsi="Times New Roman" w:cs="Times New Roman"/>
          <w:b/>
          <w:sz w:val="80"/>
          <w:szCs w:val="80"/>
        </w:rPr>
        <w:t>PHILIPPINES</w:t>
      </w:r>
    </w:p>
    <w:p w14:paraId="507B33FA" w14:textId="77777777" w:rsidR="0000349A" w:rsidRDefault="0000349A" w:rsidP="0000349A"/>
    <w:p w14:paraId="2185DDCE" w14:textId="77777777" w:rsidR="0000349A" w:rsidRPr="0088510B" w:rsidRDefault="0000349A" w:rsidP="0000349A">
      <w:pPr>
        <w:rPr>
          <w:sz w:val="10"/>
        </w:rPr>
      </w:pPr>
    </w:p>
    <w:p w14:paraId="279AF577" w14:textId="77777777" w:rsidR="0000349A" w:rsidRDefault="0000349A" w:rsidP="0000349A">
      <w:r>
        <w:rPr>
          <w:noProof/>
          <w:lang w:eastAsia="en-GB"/>
        </w:rPr>
        <mc:AlternateContent>
          <mc:Choice Requires="wps">
            <w:drawing>
              <wp:anchor distT="4294967295" distB="4294967295" distL="114300" distR="114300" simplePos="0" relativeHeight="251660288" behindDoc="0" locked="0" layoutInCell="1" allowOverlap="1" wp14:anchorId="432829BB" wp14:editId="76D5D0E8">
                <wp:simplePos x="0" y="0"/>
                <wp:positionH relativeFrom="column">
                  <wp:posOffset>219075</wp:posOffset>
                </wp:positionH>
                <wp:positionV relativeFrom="paragraph">
                  <wp:posOffset>13334</wp:posOffset>
                </wp:positionV>
                <wp:extent cx="6200775" cy="0"/>
                <wp:effectExtent l="0" t="0" r="22225" b="254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 o:spid="_x0000_s1026" type="#_x0000_t32" style="position:absolute;margin-left:17.25pt;margin-top:1.05pt;width:488.25pt;height:0;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xNbR0CAAA8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" strokeweight="1.5pt"/>
            </w:pict>
          </mc:Fallback>
        </mc:AlternateContent>
      </w:r>
    </w:p>
    <w:p w14:paraId="7EC79099" w14:textId="77777777" w:rsidR="0000349A" w:rsidRPr="007D4C2B" w:rsidRDefault="0000349A" w:rsidP="0000349A">
      <w:pPr>
        <w:jc w:val="center"/>
        <w:rPr>
          <w:rFonts w:cs="Arial"/>
          <w:b/>
          <w:sz w:val="32"/>
          <w:lang w:val="en-US"/>
        </w:rPr>
      </w:pPr>
      <w:r w:rsidRPr="007D4C2B">
        <w:rPr>
          <w:rFonts w:cs="Arial"/>
          <w:b/>
          <w:sz w:val="32"/>
          <w:lang w:val="en-US"/>
        </w:rPr>
        <w:t>Human Rights Council</w:t>
      </w:r>
    </w:p>
    <w:p w14:paraId="49032A87" w14:textId="77777777" w:rsidR="0000349A" w:rsidRPr="00AB0F8B" w:rsidRDefault="0000349A" w:rsidP="0000349A">
      <w:pPr>
        <w:jc w:val="center"/>
        <w:rPr>
          <w:rFonts w:cs="Arial"/>
          <w:b/>
          <w:lang w:val="en-US"/>
        </w:rPr>
      </w:pPr>
      <w:r w:rsidRPr="00AB0F8B">
        <w:rPr>
          <w:rFonts w:cs="Arial"/>
          <w:b/>
          <w:lang w:val="en-US"/>
        </w:rPr>
        <w:t>Working Group on the Universal Periodic Review</w:t>
      </w:r>
    </w:p>
    <w:p w14:paraId="19835B15" w14:textId="77777777" w:rsidR="0000349A" w:rsidRDefault="0000349A" w:rsidP="0000349A">
      <w:pPr>
        <w:jc w:val="center"/>
        <w:rPr>
          <w:rFonts w:cs="Arial"/>
          <w:b/>
          <w:bCs/>
          <w:lang w:val="en-US"/>
        </w:rPr>
      </w:pPr>
      <w:r>
        <w:rPr>
          <w:rFonts w:cs="Arial"/>
          <w:b/>
          <w:bCs/>
          <w:lang w:val="en-US"/>
        </w:rPr>
        <w:t>30</w:t>
      </w:r>
      <w:r w:rsidRPr="007B469D">
        <w:rPr>
          <w:rFonts w:cs="Arial"/>
          <w:b/>
          <w:bCs/>
          <w:vertAlign w:val="superscript"/>
          <w:lang w:val="en-US"/>
        </w:rPr>
        <w:t>th</w:t>
      </w:r>
      <w:r>
        <w:rPr>
          <w:rFonts w:cs="Arial"/>
          <w:b/>
          <w:bCs/>
          <w:lang w:val="en-US"/>
        </w:rPr>
        <w:t xml:space="preserve"> Session, 3</w:t>
      </w:r>
      <w:r w:rsidRPr="007B469D">
        <w:rPr>
          <w:rFonts w:cs="Arial"/>
          <w:b/>
          <w:bCs/>
          <w:vertAlign w:val="superscript"/>
          <w:lang w:val="en-US"/>
        </w:rPr>
        <w:t>rd</w:t>
      </w:r>
      <w:r>
        <w:rPr>
          <w:rFonts w:cs="Arial"/>
          <w:b/>
          <w:bCs/>
          <w:lang w:val="en-US"/>
        </w:rPr>
        <w:t xml:space="preserve"> Cycle</w:t>
      </w:r>
    </w:p>
    <w:p w14:paraId="5F49E688" w14:textId="77777777" w:rsidR="0000349A" w:rsidRPr="00AB0F8B" w:rsidRDefault="0000349A" w:rsidP="0000349A">
      <w:pPr>
        <w:jc w:val="center"/>
        <w:rPr>
          <w:rFonts w:cs="Arial"/>
          <w:b/>
          <w:bCs/>
          <w:lang w:val="en-US"/>
        </w:rPr>
      </w:pPr>
    </w:p>
    <w:p w14:paraId="311DC833" w14:textId="77777777" w:rsidR="0000349A" w:rsidRDefault="0000349A" w:rsidP="0000349A">
      <w:pPr>
        <w:jc w:val="center"/>
        <w:rPr>
          <w:rFonts w:cs="Arial"/>
          <w:b/>
          <w:bCs/>
          <w:lang w:val="en-US"/>
        </w:rPr>
      </w:pPr>
      <w:r>
        <w:rPr>
          <w:rFonts w:cs="Arial"/>
          <w:b/>
          <w:bCs/>
          <w:lang w:val="en-US"/>
        </w:rPr>
        <w:t>UPR of CANADA</w:t>
      </w:r>
    </w:p>
    <w:p w14:paraId="5E96095E" w14:textId="5B4E4853" w:rsidR="0000349A" w:rsidRDefault="00D50C95" w:rsidP="0000349A">
      <w:pPr>
        <w:jc w:val="center"/>
        <w:rPr>
          <w:rFonts w:cs="Arial"/>
        </w:rPr>
      </w:pPr>
      <w:r>
        <w:rPr>
          <w:rFonts w:cs="Arial"/>
        </w:rPr>
        <w:t>Salle XX</w:t>
      </w:r>
      <w:r w:rsidR="0000349A">
        <w:rPr>
          <w:rFonts w:cs="Arial"/>
        </w:rPr>
        <w:t xml:space="preserve">, </w:t>
      </w:r>
      <w:r w:rsidR="0000349A" w:rsidRPr="001A0383">
        <w:rPr>
          <w:rFonts w:cs="Arial"/>
          <w:i/>
        </w:rPr>
        <w:t>Palais des Nations</w:t>
      </w:r>
      <w:r w:rsidR="0000349A">
        <w:rPr>
          <w:rFonts w:cs="Arial"/>
        </w:rPr>
        <w:t xml:space="preserve">, Geneva </w:t>
      </w:r>
    </w:p>
    <w:p w14:paraId="3CF247DF" w14:textId="77777777" w:rsidR="0000349A" w:rsidRDefault="0000349A" w:rsidP="0000349A">
      <w:pPr>
        <w:rPr>
          <w:rFonts w:cs="Arial"/>
          <w:szCs w:val="24"/>
        </w:rPr>
      </w:pPr>
      <w:r>
        <w:rPr>
          <w:rFonts w:cs="Arial"/>
        </w:rPr>
        <w:tab/>
      </w:r>
      <w:r>
        <w:rPr>
          <w:rFonts w:cs="Arial"/>
        </w:rPr>
        <w:tab/>
      </w:r>
      <w:r>
        <w:rPr>
          <w:rFonts w:cs="Arial"/>
        </w:rPr>
        <w:tab/>
      </w:r>
      <w:r>
        <w:rPr>
          <w:rFonts w:cs="Arial"/>
        </w:rPr>
        <w:tab/>
      </w:r>
      <w:r>
        <w:rPr>
          <w:rFonts w:cs="Arial"/>
        </w:rPr>
        <w:tab/>
      </w:r>
      <w:r>
        <w:rPr>
          <w:rFonts w:cs="Arial"/>
        </w:rPr>
        <w:tab/>
        <w:t>11 May 2018</w:t>
      </w:r>
    </w:p>
    <w:p w14:paraId="35BBFEFE" w14:textId="77777777" w:rsidR="0000349A" w:rsidRDefault="0000349A" w:rsidP="0000349A">
      <w:pPr>
        <w:rPr>
          <w:rFonts w:cs="Arial"/>
          <w:szCs w:val="24"/>
        </w:rPr>
      </w:pPr>
    </w:p>
    <w:p w14:paraId="08322CF8" w14:textId="57D63C73" w:rsidR="0000349A" w:rsidRPr="00C55CDC" w:rsidRDefault="0000349A" w:rsidP="0000349A">
      <w:pPr>
        <w:rPr>
          <w:rFonts w:cs="Arial"/>
          <w:szCs w:val="24"/>
        </w:rPr>
      </w:pPr>
      <w:r w:rsidRPr="00C55CDC">
        <w:rPr>
          <w:rFonts w:cs="Arial"/>
          <w:szCs w:val="24"/>
        </w:rPr>
        <w:t>Thank</w:t>
      </w:r>
      <w:r w:rsidR="000D669C">
        <w:rPr>
          <w:rFonts w:cs="Arial"/>
          <w:szCs w:val="24"/>
        </w:rPr>
        <w:t xml:space="preserve"> you Mister Vice-President</w:t>
      </w:r>
      <w:r w:rsidRPr="00C55CDC">
        <w:rPr>
          <w:rFonts w:cs="Arial"/>
          <w:szCs w:val="24"/>
        </w:rPr>
        <w:t>,</w:t>
      </w:r>
    </w:p>
    <w:p w14:paraId="07F3DFA4" w14:textId="77777777" w:rsidR="0000349A" w:rsidRPr="00C55CDC" w:rsidRDefault="0000349A" w:rsidP="0000349A">
      <w:pPr>
        <w:jc w:val="both"/>
        <w:rPr>
          <w:rFonts w:cs="Arial"/>
          <w:szCs w:val="24"/>
        </w:rPr>
      </w:pPr>
    </w:p>
    <w:p w14:paraId="31D75D3D" w14:textId="32C4E3B0" w:rsidR="0000349A" w:rsidRDefault="0000349A" w:rsidP="0000349A">
      <w:pPr>
        <w:jc w:val="both"/>
        <w:rPr>
          <w:rFonts w:cs="Arial"/>
          <w:szCs w:val="24"/>
        </w:rPr>
      </w:pPr>
      <w:r w:rsidRPr="00C55CDC">
        <w:rPr>
          <w:rFonts w:cs="Arial"/>
          <w:szCs w:val="24"/>
        </w:rPr>
        <w:t>The Philippine delegation warmly welcomes the delegation of Canada and the presentation of its national report.</w:t>
      </w:r>
      <w:r w:rsidR="000D669C">
        <w:rPr>
          <w:rFonts w:cs="Arial"/>
          <w:szCs w:val="24"/>
        </w:rPr>
        <w:t xml:space="preserve"> We also welcome Canada’s various achievements on human rights. </w:t>
      </w:r>
    </w:p>
    <w:p w14:paraId="310CF4C2" w14:textId="77777777" w:rsidR="000D669C" w:rsidRDefault="000D669C" w:rsidP="000D669C">
      <w:pPr>
        <w:jc w:val="both"/>
        <w:rPr>
          <w:szCs w:val="24"/>
        </w:rPr>
      </w:pPr>
    </w:p>
    <w:p w14:paraId="7E8CC3F8" w14:textId="77777777" w:rsidR="000D669C" w:rsidRDefault="000D669C" w:rsidP="000D669C">
      <w:pPr>
        <w:jc w:val="both"/>
        <w:rPr>
          <w:szCs w:val="24"/>
        </w:rPr>
      </w:pPr>
      <w:r>
        <w:rPr>
          <w:szCs w:val="24"/>
        </w:rPr>
        <w:t>The Philippines lauds Canada’s efforts in promoting the rights of migrants and members of their families regardless of their migration status. We welcome Canada’s willingness to work with countries like the Philippines in promoting decent work and ethical recruitment of migrant workers.</w:t>
      </w:r>
      <w:r>
        <w:rPr>
          <w:rStyle w:val="FootnoteReference"/>
          <w:szCs w:val="24"/>
        </w:rPr>
        <w:footnoteReference w:id="1"/>
      </w:r>
      <w:r>
        <w:rPr>
          <w:szCs w:val="24"/>
        </w:rPr>
        <w:t xml:space="preserve"> </w:t>
      </w:r>
    </w:p>
    <w:p w14:paraId="2E20ABA7" w14:textId="77777777" w:rsidR="0000349A" w:rsidRPr="00C55CDC" w:rsidRDefault="0000349A" w:rsidP="0000349A">
      <w:pPr>
        <w:jc w:val="both"/>
        <w:rPr>
          <w:szCs w:val="24"/>
        </w:rPr>
      </w:pPr>
    </w:p>
    <w:p w14:paraId="3665EBE0" w14:textId="5FC675F9" w:rsidR="0000349A" w:rsidRPr="00C55CDC" w:rsidRDefault="0000349A" w:rsidP="0000349A">
      <w:pPr>
        <w:pBdr>
          <w:top w:val="nil"/>
          <w:left w:val="nil"/>
          <w:bottom w:val="nil"/>
          <w:right w:val="nil"/>
          <w:between w:val="nil"/>
        </w:pBdr>
        <w:spacing w:line="276" w:lineRule="auto"/>
        <w:jc w:val="both"/>
        <w:rPr>
          <w:rFonts w:eastAsia="Calibri" w:cs="Arial"/>
          <w:color w:val="000000" w:themeColor="text1"/>
          <w:szCs w:val="24"/>
        </w:rPr>
      </w:pPr>
      <w:r w:rsidRPr="00C55CDC">
        <w:rPr>
          <w:szCs w:val="24"/>
        </w:rPr>
        <w:t xml:space="preserve">The Philippines appreciates </w:t>
      </w:r>
      <w:r>
        <w:rPr>
          <w:szCs w:val="24"/>
        </w:rPr>
        <w:t xml:space="preserve">that </w:t>
      </w:r>
      <w:r w:rsidRPr="00C55CDC">
        <w:rPr>
          <w:rFonts w:eastAsia="Calibri" w:cs="Arial"/>
          <w:color w:val="000000" w:themeColor="text1"/>
          <w:szCs w:val="24"/>
        </w:rPr>
        <w:t xml:space="preserve">Canada </w:t>
      </w:r>
      <w:r>
        <w:rPr>
          <w:rFonts w:eastAsia="Calibri" w:cs="Arial"/>
          <w:color w:val="000000" w:themeColor="text1"/>
          <w:szCs w:val="24"/>
        </w:rPr>
        <w:t>is a</w:t>
      </w:r>
      <w:r w:rsidRPr="00C55CDC">
        <w:rPr>
          <w:rFonts w:eastAsia="Calibri" w:cs="Arial"/>
          <w:color w:val="000000" w:themeColor="text1"/>
          <w:szCs w:val="24"/>
        </w:rPr>
        <w:t xml:space="preserve"> State party to a number of international human rights treaties. </w:t>
      </w:r>
      <w:r w:rsidR="00DD416A">
        <w:rPr>
          <w:rFonts w:eastAsia="Calibri" w:cs="Arial"/>
          <w:color w:val="000000" w:themeColor="text1"/>
          <w:szCs w:val="24"/>
        </w:rPr>
        <w:t>Pursuant to its treaty obligations, w</w:t>
      </w:r>
      <w:r w:rsidRPr="00C55CDC">
        <w:rPr>
          <w:rFonts w:eastAsia="Calibri" w:cs="Arial"/>
          <w:color w:val="000000" w:themeColor="text1"/>
          <w:szCs w:val="24"/>
        </w:rPr>
        <w:t xml:space="preserve">e expect Canada to uphold the human rights of everyone and not forget those in the fringes of society.  </w:t>
      </w:r>
      <w:r>
        <w:rPr>
          <w:rFonts w:eastAsia="Calibri" w:cs="Arial"/>
          <w:color w:val="000000" w:themeColor="text1"/>
          <w:szCs w:val="24"/>
        </w:rPr>
        <w:t>We</w:t>
      </w:r>
      <w:r w:rsidRPr="00C55CDC">
        <w:rPr>
          <w:rFonts w:eastAsia="Calibri" w:cs="Arial"/>
          <w:color w:val="000000" w:themeColor="text1"/>
          <w:szCs w:val="24"/>
        </w:rPr>
        <w:t xml:space="preserve"> are concern</w:t>
      </w:r>
      <w:r w:rsidR="009526F1">
        <w:rPr>
          <w:rFonts w:eastAsia="Calibri" w:cs="Arial"/>
          <w:color w:val="000000" w:themeColor="text1"/>
          <w:szCs w:val="24"/>
        </w:rPr>
        <w:t>ed</w:t>
      </w:r>
      <w:r w:rsidRPr="00C55CDC">
        <w:rPr>
          <w:rFonts w:eastAsia="Calibri" w:cs="Arial"/>
          <w:color w:val="000000" w:themeColor="text1"/>
          <w:szCs w:val="24"/>
        </w:rPr>
        <w:t xml:space="preserve"> about persistent reports that Canada’s Indigenous Peoples (IPs) are not able to access justice on an equal footing with the rest of Canada’s population and that Canada’s criminal justice system unnecessarily discriminate IPs.  We are </w:t>
      </w:r>
      <w:r w:rsidR="00AD417F">
        <w:rPr>
          <w:rFonts w:eastAsia="Calibri" w:cs="Arial"/>
          <w:color w:val="000000" w:themeColor="text1"/>
          <w:szCs w:val="24"/>
        </w:rPr>
        <w:t>equally</w:t>
      </w:r>
      <w:r w:rsidRPr="00C55CDC">
        <w:rPr>
          <w:rFonts w:eastAsia="Calibri" w:cs="Arial"/>
          <w:color w:val="000000" w:themeColor="text1"/>
          <w:szCs w:val="24"/>
        </w:rPr>
        <w:t xml:space="preserve"> concern</w:t>
      </w:r>
      <w:r w:rsidR="009526F1">
        <w:rPr>
          <w:rFonts w:eastAsia="Calibri" w:cs="Arial"/>
          <w:color w:val="000000" w:themeColor="text1"/>
          <w:szCs w:val="24"/>
        </w:rPr>
        <w:t>ed</w:t>
      </w:r>
      <w:r w:rsidR="00AD417F">
        <w:rPr>
          <w:rFonts w:eastAsia="Calibri" w:cs="Arial"/>
          <w:color w:val="000000" w:themeColor="text1"/>
          <w:szCs w:val="24"/>
        </w:rPr>
        <w:t xml:space="preserve"> that </w:t>
      </w:r>
      <w:r w:rsidRPr="00C55CDC">
        <w:rPr>
          <w:rFonts w:eastAsia="Calibri" w:cs="Arial"/>
          <w:color w:val="000000" w:themeColor="text1"/>
          <w:szCs w:val="24"/>
        </w:rPr>
        <w:t xml:space="preserve">indigenous women and girls suffer from layers of discrimination and are victims of violence and abuse. </w:t>
      </w:r>
    </w:p>
    <w:p w14:paraId="7F16D1C7" w14:textId="77777777" w:rsidR="0000349A" w:rsidRDefault="0000349A" w:rsidP="0000349A">
      <w:pPr>
        <w:pBdr>
          <w:top w:val="nil"/>
          <w:left w:val="nil"/>
          <w:bottom w:val="nil"/>
          <w:right w:val="nil"/>
          <w:between w:val="nil"/>
        </w:pBdr>
        <w:spacing w:line="276" w:lineRule="auto"/>
        <w:jc w:val="both"/>
        <w:rPr>
          <w:rFonts w:cs="Arial"/>
          <w:color w:val="000000" w:themeColor="text1"/>
          <w:szCs w:val="24"/>
        </w:rPr>
      </w:pPr>
    </w:p>
    <w:p w14:paraId="297AC498" w14:textId="35A2149A" w:rsidR="0000349A" w:rsidRDefault="0000349A" w:rsidP="0000349A">
      <w:pPr>
        <w:pBdr>
          <w:top w:val="nil"/>
          <w:left w:val="nil"/>
          <w:bottom w:val="nil"/>
          <w:right w:val="nil"/>
          <w:between w:val="nil"/>
        </w:pBdr>
        <w:spacing w:line="276" w:lineRule="auto"/>
        <w:jc w:val="both"/>
        <w:rPr>
          <w:rFonts w:cs="Arial"/>
          <w:color w:val="000000" w:themeColor="text1"/>
          <w:szCs w:val="24"/>
        </w:rPr>
      </w:pPr>
      <w:r w:rsidRPr="00C55CDC">
        <w:rPr>
          <w:rFonts w:cs="Arial"/>
          <w:color w:val="000000" w:themeColor="text1"/>
          <w:szCs w:val="24"/>
        </w:rPr>
        <w:t xml:space="preserve">The Philippines </w:t>
      </w:r>
      <w:r w:rsidR="00AD417F">
        <w:rPr>
          <w:rFonts w:cs="Arial"/>
          <w:color w:val="000000" w:themeColor="text1"/>
          <w:szCs w:val="24"/>
        </w:rPr>
        <w:t>is alarmed that</w:t>
      </w:r>
      <w:r w:rsidRPr="00C55CDC">
        <w:rPr>
          <w:rFonts w:cs="Arial"/>
          <w:color w:val="000000" w:themeColor="text1"/>
          <w:szCs w:val="24"/>
        </w:rPr>
        <w:t xml:space="preserve"> some 235 thousand are </w:t>
      </w:r>
      <w:r w:rsidR="00AD417F">
        <w:rPr>
          <w:rFonts w:cs="Arial"/>
          <w:color w:val="000000" w:themeColor="text1"/>
          <w:szCs w:val="24"/>
        </w:rPr>
        <w:t xml:space="preserve">reported to be </w:t>
      </w:r>
      <w:r w:rsidRPr="00C55CDC">
        <w:rPr>
          <w:rFonts w:cs="Arial"/>
          <w:color w:val="000000" w:themeColor="text1"/>
          <w:szCs w:val="24"/>
        </w:rPr>
        <w:t>homeless annually in Canada</w:t>
      </w:r>
      <w:r>
        <w:rPr>
          <w:rFonts w:cs="Arial"/>
          <w:color w:val="000000" w:themeColor="text1"/>
          <w:szCs w:val="24"/>
        </w:rPr>
        <w:t xml:space="preserve"> and an average of 35 thousands Canadians are homeless on a given night</w:t>
      </w:r>
      <w:r w:rsidRPr="00C55CDC">
        <w:rPr>
          <w:rStyle w:val="FootnoteReference"/>
          <w:rFonts w:cs="Arial"/>
          <w:color w:val="000000" w:themeColor="text1"/>
          <w:szCs w:val="24"/>
        </w:rPr>
        <w:footnoteReference w:id="2"/>
      </w:r>
      <w:r>
        <w:rPr>
          <w:rFonts w:cs="Arial"/>
          <w:color w:val="000000" w:themeColor="text1"/>
          <w:szCs w:val="24"/>
        </w:rPr>
        <w:t xml:space="preserve">. Homelessness severely impacts </w:t>
      </w:r>
      <w:r w:rsidRPr="00C55CDC">
        <w:rPr>
          <w:rFonts w:cs="Arial"/>
          <w:color w:val="000000" w:themeColor="text1"/>
          <w:szCs w:val="24"/>
        </w:rPr>
        <w:t>the right to health and right to life. Complicating this situation, homeless people are criminalized in most Canadian cities and provinces, for acts of begging and sleeping in pubic places.</w:t>
      </w:r>
      <w:r>
        <w:rPr>
          <w:rFonts w:cs="Arial"/>
          <w:color w:val="000000" w:themeColor="text1"/>
          <w:szCs w:val="24"/>
        </w:rPr>
        <w:t xml:space="preserve">  </w:t>
      </w:r>
      <w:r w:rsidRPr="00C55CDC">
        <w:rPr>
          <w:rFonts w:cs="Arial"/>
          <w:color w:val="000000" w:themeColor="text1"/>
          <w:szCs w:val="24"/>
        </w:rPr>
        <w:t xml:space="preserve">A country as prosperous as Canada is least expected to have </w:t>
      </w:r>
      <w:r>
        <w:rPr>
          <w:rFonts w:cs="Arial"/>
          <w:color w:val="000000" w:themeColor="text1"/>
          <w:szCs w:val="24"/>
        </w:rPr>
        <w:t xml:space="preserve">massive </w:t>
      </w:r>
      <w:r w:rsidRPr="00C55CDC">
        <w:rPr>
          <w:rFonts w:cs="Arial"/>
          <w:color w:val="000000" w:themeColor="text1"/>
          <w:szCs w:val="24"/>
        </w:rPr>
        <w:t>homelessness</w:t>
      </w:r>
      <w:r>
        <w:rPr>
          <w:rFonts w:cs="Arial"/>
          <w:color w:val="000000" w:themeColor="text1"/>
          <w:szCs w:val="24"/>
        </w:rPr>
        <w:t xml:space="preserve">. </w:t>
      </w:r>
    </w:p>
    <w:p w14:paraId="65D4B416" w14:textId="77777777" w:rsidR="0000349A" w:rsidRPr="00C55CDC" w:rsidRDefault="0000349A" w:rsidP="0000349A">
      <w:pPr>
        <w:pBdr>
          <w:top w:val="nil"/>
          <w:left w:val="nil"/>
          <w:bottom w:val="nil"/>
          <w:right w:val="nil"/>
          <w:between w:val="nil"/>
        </w:pBdr>
        <w:spacing w:line="276" w:lineRule="auto"/>
        <w:jc w:val="both"/>
        <w:rPr>
          <w:rFonts w:eastAsiaTheme="minorEastAsia" w:cs="Arial"/>
          <w:color w:val="191919"/>
          <w:szCs w:val="24"/>
          <w:lang w:val="en-US"/>
        </w:rPr>
      </w:pPr>
    </w:p>
    <w:p w14:paraId="2C0DAB07" w14:textId="6976063E" w:rsidR="0000349A" w:rsidRPr="00C55CDC" w:rsidRDefault="0000349A" w:rsidP="0000349A">
      <w:pPr>
        <w:pBdr>
          <w:top w:val="nil"/>
          <w:left w:val="nil"/>
          <w:bottom w:val="nil"/>
          <w:right w:val="nil"/>
          <w:between w:val="nil"/>
        </w:pBdr>
        <w:spacing w:line="276" w:lineRule="auto"/>
        <w:jc w:val="both"/>
        <w:rPr>
          <w:rFonts w:cs="Arial"/>
          <w:color w:val="000000" w:themeColor="text1"/>
          <w:szCs w:val="24"/>
        </w:rPr>
      </w:pPr>
      <w:r w:rsidRPr="00C55CDC">
        <w:rPr>
          <w:rFonts w:eastAsia="Calibri" w:cs="Arial"/>
          <w:color w:val="000000" w:themeColor="text1"/>
          <w:szCs w:val="24"/>
        </w:rPr>
        <w:t xml:space="preserve">The Philippines understands that Canada cares for the environment and </w:t>
      </w:r>
      <w:r>
        <w:rPr>
          <w:rFonts w:eastAsia="Calibri" w:cs="Arial"/>
          <w:color w:val="000000" w:themeColor="text1"/>
          <w:szCs w:val="24"/>
        </w:rPr>
        <w:t>places</w:t>
      </w:r>
      <w:r w:rsidRPr="00C55CDC">
        <w:rPr>
          <w:rFonts w:eastAsia="Calibri" w:cs="Arial"/>
          <w:color w:val="000000" w:themeColor="text1"/>
          <w:szCs w:val="24"/>
        </w:rPr>
        <w:t xml:space="preserve"> high priority to responsible mining</w:t>
      </w:r>
      <w:r>
        <w:rPr>
          <w:rFonts w:eastAsia="Calibri" w:cs="Arial"/>
          <w:color w:val="000000" w:themeColor="text1"/>
          <w:szCs w:val="24"/>
        </w:rPr>
        <w:t xml:space="preserve">. It is in this light that Canadian companies engaged in mining, oil and gas and other extractive industry </w:t>
      </w:r>
      <w:r w:rsidR="000D669C">
        <w:rPr>
          <w:rFonts w:eastAsia="Calibri" w:cs="Arial"/>
          <w:color w:val="000000" w:themeColor="text1"/>
          <w:szCs w:val="24"/>
        </w:rPr>
        <w:t>are expected to</w:t>
      </w:r>
      <w:r w:rsidRPr="00C55CDC">
        <w:rPr>
          <w:rFonts w:eastAsia="Calibri" w:cs="Arial"/>
          <w:color w:val="000000" w:themeColor="text1"/>
          <w:szCs w:val="24"/>
        </w:rPr>
        <w:t xml:space="preserve"> refrain from despoiling</w:t>
      </w:r>
      <w:r w:rsidRPr="00C55CDC">
        <w:rPr>
          <w:rFonts w:eastAsia="Calibri" w:cs="Arial"/>
          <w:b/>
          <w:color w:val="000000" w:themeColor="text1"/>
          <w:szCs w:val="24"/>
        </w:rPr>
        <w:t xml:space="preserve"> </w:t>
      </w:r>
      <w:r w:rsidRPr="00C55CDC">
        <w:rPr>
          <w:rFonts w:eastAsia="Calibri" w:cs="Arial"/>
          <w:color w:val="000000" w:themeColor="text1"/>
          <w:szCs w:val="24"/>
        </w:rPr>
        <w:t xml:space="preserve">watersheds, ecosystems, agriculture, fisheries and the safety and well-being of the affected local communities, especially </w:t>
      </w:r>
      <w:r w:rsidRPr="00C55CDC">
        <w:rPr>
          <w:rFonts w:eastAsia="Calibri" w:cs="Arial"/>
          <w:color w:val="000000" w:themeColor="text1"/>
          <w:szCs w:val="24"/>
        </w:rPr>
        <w:lastRenderedPageBreak/>
        <w:t>indigenous peoples.</w:t>
      </w:r>
      <w:r>
        <w:rPr>
          <w:rFonts w:eastAsia="Calibri" w:cs="Arial"/>
          <w:color w:val="000000" w:themeColor="text1"/>
          <w:szCs w:val="24"/>
        </w:rPr>
        <w:t xml:space="preserve"> These Canadian companies </w:t>
      </w:r>
      <w:r w:rsidR="000D669C">
        <w:rPr>
          <w:rFonts w:cs="Arial"/>
          <w:color w:val="000000" w:themeColor="text1"/>
          <w:szCs w:val="24"/>
        </w:rPr>
        <w:t xml:space="preserve">are </w:t>
      </w:r>
      <w:r w:rsidR="00A725CD">
        <w:rPr>
          <w:rFonts w:cs="Arial"/>
          <w:color w:val="000000" w:themeColor="text1"/>
          <w:szCs w:val="24"/>
        </w:rPr>
        <w:t xml:space="preserve">also </w:t>
      </w:r>
      <w:r w:rsidR="000D669C">
        <w:rPr>
          <w:rFonts w:cs="Arial"/>
          <w:color w:val="000000" w:themeColor="text1"/>
          <w:szCs w:val="24"/>
        </w:rPr>
        <w:t>expected</w:t>
      </w:r>
      <w:r w:rsidRPr="00C55CDC">
        <w:rPr>
          <w:rFonts w:cs="Arial"/>
          <w:color w:val="000000" w:themeColor="text1"/>
          <w:szCs w:val="24"/>
        </w:rPr>
        <w:t xml:space="preserve"> be held accountable for the negative human rights impact of their operations abroad.</w:t>
      </w:r>
      <w:r w:rsidRPr="00042BD6">
        <w:rPr>
          <w:rFonts w:eastAsia="Calibri" w:cs="Arial"/>
          <w:color w:val="000000" w:themeColor="text1"/>
          <w:szCs w:val="24"/>
        </w:rPr>
        <w:t xml:space="preserve"> </w:t>
      </w:r>
      <w:r>
        <w:rPr>
          <w:rFonts w:eastAsia="Calibri" w:cs="Arial"/>
          <w:color w:val="000000" w:themeColor="text1"/>
          <w:szCs w:val="24"/>
        </w:rPr>
        <w:t>Canada should not have allowed the dumping of its waste to another country.</w:t>
      </w:r>
    </w:p>
    <w:p w14:paraId="2366E8C3" w14:textId="77777777" w:rsidR="0000349A" w:rsidRPr="00C55CDC" w:rsidRDefault="0000349A" w:rsidP="0000349A">
      <w:pPr>
        <w:pBdr>
          <w:top w:val="nil"/>
          <w:left w:val="nil"/>
          <w:bottom w:val="nil"/>
          <w:right w:val="nil"/>
          <w:between w:val="nil"/>
        </w:pBdr>
        <w:spacing w:line="276" w:lineRule="auto"/>
        <w:jc w:val="both"/>
        <w:rPr>
          <w:rFonts w:eastAsia="Calibri" w:cs="Arial"/>
          <w:color w:val="000000" w:themeColor="text1"/>
          <w:szCs w:val="24"/>
        </w:rPr>
      </w:pPr>
    </w:p>
    <w:p w14:paraId="3DFC43AD" w14:textId="5CC359DB" w:rsidR="0000349A" w:rsidRPr="00C55CDC" w:rsidRDefault="000D669C" w:rsidP="0000349A">
      <w:pPr>
        <w:pBdr>
          <w:top w:val="nil"/>
          <w:left w:val="nil"/>
          <w:bottom w:val="nil"/>
          <w:right w:val="nil"/>
          <w:between w:val="nil"/>
        </w:pBdr>
        <w:spacing w:line="276" w:lineRule="auto"/>
        <w:jc w:val="both"/>
        <w:rPr>
          <w:rFonts w:eastAsia="Calibri" w:cs="Arial"/>
          <w:color w:val="000000" w:themeColor="text1"/>
          <w:szCs w:val="24"/>
        </w:rPr>
      </w:pPr>
      <w:r>
        <w:rPr>
          <w:rFonts w:eastAsia="Calibri" w:cs="Arial"/>
          <w:color w:val="000000" w:themeColor="text1"/>
          <w:szCs w:val="24"/>
        </w:rPr>
        <w:t>Finally, we</w:t>
      </w:r>
      <w:r w:rsidR="00DD416A">
        <w:rPr>
          <w:rFonts w:eastAsia="Calibri" w:cs="Arial"/>
          <w:color w:val="000000" w:themeColor="text1"/>
          <w:szCs w:val="24"/>
        </w:rPr>
        <w:t xml:space="preserve"> </w:t>
      </w:r>
      <w:r w:rsidR="0000349A" w:rsidRPr="00C55CDC">
        <w:rPr>
          <w:rFonts w:eastAsia="Calibri" w:cs="Arial"/>
          <w:color w:val="000000" w:themeColor="text1"/>
          <w:szCs w:val="24"/>
        </w:rPr>
        <w:t xml:space="preserve">note with concern that solitary confinement is still </w:t>
      </w:r>
      <w:r w:rsidR="00DD416A">
        <w:rPr>
          <w:rFonts w:eastAsia="Calibri" w:cs="Arial"/>
          <w:color w:val="000000" w:themeColor="text1"/>
          <w:szCs w:val="24"/>
        </w:rPr>
        <w:t xml:space="preserve">being </w:t>
      </w:r>
      <w:r w:rsidR="0000349A" w:rsidRPr="00C55CDC">
        <w:rPr>
          <w:rFonts w:eastAsia="Calibri" w:cs="Arial"/>
          <w:color w:val="000000" w:themeColor="text1"/>
          <w:szCs w:val="24"/>
        </w:rPr>
        <w:t>practiced in Canada</w:t>
      </w:r>
      <w:r w:rsidR="0000349A">
        <w:rPr>
          <w:rFonts w:eastAsia="Calibri" w:cs="Arial"/>
          <w:color w:val="000000" w:themeColor="text1"/>
          <w:szCs w:val="24"/>
        </w:rPr>
        <w:t xml:space="preserve">. </w:t>
      </w:r>
      <w:r w:rsidR="0000349A" w:rsidRPr="00C55CDC">
        <w:rPr>
          <w:rFonts w:eastAsia="Calibri" w:cs="Arial"/>
          <w:color w:val="000000" w:themeColor="text1"/>
          <w:szCs w:val="24"/>
        </w:rPr>
        <w:t>Many studies have showed that prolonged solitary confinement can lead to a range of health problems</w:t>
      </w:r>
      <w:r w:rsidR="0000349A">
        <w:rPr>
          <w:rFonts w:eastAsia="Calibri" w:cs="Arial"/>
          <w:color w:val="000000" w:themeColor="text1"/>
          <w:szCs w:val="24"/>
        </w:rPr>
        <w:t xml:space="preserve">.  </w:t>
      </w:r>
      <w:r w:rsidR="00DD416A">
        <w:rPr>
          <w:rFonts w:eastAsia="Calibri" w:cs="Arial"/>
          <w:color w:val="000000" w:themeColor="text1"/>
          <w:szCs w:val="24"/>
        </w:rPr>
        <w:t>T</w:t>
      </w:r>
      <w:r w:rsidR="0000349A" w:rsidRPr="00C55CDC">
        <w:rPr>
          <w:rFonts w:eastAsia="Calibri" w:cs="Arial"/>
          <w:color w:val="000000" w:themeColor="text1"/>
          <w:szCs w:val="24"/>
        </w:rPr>
        <w:t>his</w:t>
      </w:r>
      <w:r w:rsidR="00DD416A">
        <w:rPr>
          <w:rFonts w:eastAsia="Calibri" w:cs="Arial"/>
          <w:color w:val="000000" w:themeColor="text1"/>
          <w:szCs w:val="24"/>
        </w:rPr>
        <w:t xml:space="preserve"> harmful</w:t>
      </w:r>
      <w:r w:rsidR="0000349A" w:rsidRPr="00C55CDC">
        <w:rPr>
          <w:rFonts w:eastAsia="Calibri" w:cs="Arial"/>
          <w:color w:val="000000" w:themeColor="text1"/>
          <w:szCs w:val="24"/>
        </w:rPr>
        <w:t xml:space="preserve"> practice</w:t>
      </w:r>
      <w:r w:rsidR="00DD416A">
        <w:rPr>
          <w:rFonts w:eastAsia="Calibri" w:cs="Arial"/>
          <w:color w:val="000000" w:themeColor="text1"/>
          <w:szCs w:val="24"/>
        </w:rPr>
        <w:t xml:space="preserve"> had been long abandoned in the Philippines.</w:t>
      </w:r>
    </w:p>
    <w:p w14:paraId="23D8C2C0" w14:textId="77777777" w:rsidR="00F65F59" w:rsidRDefault="00F65F59" w:rsidP="0000349A">
      <w:pPr>
        <w:jc w:val="both"/>
        <w:rPr>
          <w:szCs w:val="24"/>
        </w:rPr>
      </w:pPr>
    </w:p>
    <w:p w14:paraId="4DB41278" w14:textId="00E62C44" w:rsidR="0000349A" w:rsidRPr="00C55CDC" w:rsidRDefault="000D669C" w:rsidP="0000349A">
      <w:pPr>
        <w:jc w:val="both"/>
        <w:rPr>
          <w:szCs w:val="24"/>
        </w:rPr>
      </w:pPr>
      <w:r>
        <w:rPr>
          <w:szCs w:val="24"/>
        </w:rPr>
        <w:t xml:space="preserve">In is in this light that the </w:t>
      </w:r>
      <w:proofErr w:type="spellStart"/>
      <w:r>
        <w:rPr>
          <w:szCs w:val="24"/>
        </w:rPr>
        <w:t>t</w:t>
      </w:r>
      <w:r w:rsidR="0000349A" w:rsidRPr="00C55CDC">
        <w:rPr>
          <w:szCs w:val="24"/>
        </w:rPr>
        <w:t>he</w:t>
      </w:r>
      <w:proofErr w:type="spellEnd"/>
      <w:r w:rsidR="0000349A" w:rsidRPr="00C55CDC">
        <w:rPr>
          <w:szCs w:val="24"/>
        </w:rPr>
        <w:t xml:space="preserve"> Philippines submits the following recommendations:</w:t>
      </w:r>
    </w:p>
    <w:p w14:paraId="103573D1" w14:textId="77777777" w:rsidR="0000349A" w:rsidRPr="00C55CDC" w:rsidRDefault="0000349A" w:rsidP="0000349A">
      <w:pPr>
        <w:jc w:val="both"/>
        <w:rPr>
          <w:szCs w:val="24"/>
        </w:rPr>
      </w:pPr>
    </w:p>
    <w:p w14:paraId="6DA8D3D1" w14:textId="77777777" w:rsidR="0000349A" w:rsidRPr="00C55CDC" w:rsidRDefault="0000349A" w:rsidP="0000349A">
      <w:pPr>
        <w:pStyle w:val="ListParagraph"/>
        <w:numPr>
          <w:ilvl w:val="0"/>
          <w:numId w:val="1"/>
        </w:numPr>
        <w:jc w:val="both"/>
        <w:rPr>
          <w:rFonts w:cs="Arial"/>
          <w:color w:val="000000" w:themeColor="text1"/>
          <w:szCs w:val="24"/>
        </w:rPr>
      </w:pPr>
      <w:r w:rsidRPr="00C55CDC">
        <w:rPr>
          <w:rFonts w:eastAsia="Calibri" w:cs="Arial"/>
          <w:color w:val="000000" w:themeColor="text1"/>
          <w:szCs w:val="24"/>
        </w:rPr>
        <w:t xml:space="preserve">Ensure that Canada’s Indigenous Peoples are able to access justice on an equal footing with the rest of Canada’s population; </w:t>
      </w:r>
    </w:p>
    <w:p w14:paraId="00D2F04A" w14:textId="77777777" w:rsidR="0000349A" w:rsidRPr="00C55CDC" w:rsidRDefault="0000349A" w:rsidP="0000349A">
      <w:pPr>
        <w:ind w:left="360"/>
        <w:jc w:val="both"/>
        <w:rPr>
          <w:rFonts w:cs="Arial"/>
          <w:color w:val="000000" w:themeColor="text1"/>
          <w:szCs w:val="24"/>
        </w:rPr>
      </w:pPr>
    </w:p>
    <w:p w14:paraId="375907FF" w14:textId="77777777" w:rsidR="0000349A" w:rsidRPr="00C55CDC" w:rsidRDefault="0000349A" w:rsidP="0000349A">
      <w:pPr>
        <w:pStyle w:val="ListParagraph"/>
        <w:numPr>
          <w:ilvl w:val="0"/>
          <w:numId w:val="1"/>
        </w:numPr>
        <w:jc w:val="both"/>
        <w:rPr>
          <w:rFonts w:cs="Arial"/>
          <w:color w:val="000000" w:themeColor="text1"/>
          <w:szCs w:val="24"/>
        </w:rPr>
      </w:pPr>
      <w:r w:rsidRPr="00C55CDC">
        <w:rPr>
          <w:rFonts w:eastAsia="Calibri" w:cs="Arial"/>
          <w:color w:val="000000" w:themeColor="text1"/>
          <w:szCs w:val="24"/>
        </w:rPr>
        <w:t xml:space="preserve">Step up efforts to protect indigenous women and girls from all forms of discrimination, violence, and abuse; </w:t>
      </w:r>
    </w:p>
    <w:p w14:paraId="6D94958E" w14:textId="77777777" w:rsidR="0000349A" w:rsidRPr="00C55CDC" w:rsidRDefault="0000349A" w:rsidP="0000349A">
      <w:pPr>
        <w:jc w:val="both"/>
        <w:rPr>
          <w:rFonts w:eastAsia="Calibri" w:cs="Arial"/>
          <w:color w:val="000000" w:themeColor="text1"/>
          <w:szCs w:val="24"/>
        </w:rPr>
      </w:pPr>
    </w:p>
    <w:p w14:paraId="783A5EAB" w14:textId="3847669C" w:rsidR="0000349A" w:rsidRPr="00AD417F" w:rsidRDefault="00AD417F" w:rsidP="0000349A">
      <w:pPr>
        <w:pStyle w:val="ListParagraph"/>
        <w:numPr>
          <w:ilvl w:val="0"/>
          <w:numId w:val="1"/>
        </w:numPr>
        <w:jc w:val="both"/>
        <w:rPr>
          <w:rFonts w:cs="Arial"/>
          <w:color w:val="000000" w:themeColor="text1"/>
          <w:szCs w:val="24"/>
        </w:rPr>
      </w:pPr>
      <w:r>
        <w:rPr>
          <w:rFonts w:eastAsiaTheme="minorEastAsia" w:cs="Arial"/>
          <w:bCs/>
          <w:color w:val="191919"/>
          <w:szCs w:val="24"/>
          <w:lang w:val="en-US"/>
        </w:rPr>
        <w:t>T</w:t>
      </w:r>
      <w:r w:rsidRPr="00C55CDC">
        <w:rPr>
          <w:rFonts w:eastAsiaTheme="minorEastAsia" w:cs="Arial"/>
          <w:bCs/>
          <w:color w:val="191919"/>
          <w:szCs w:val="24"/>
          <w:lang w:val="en-US"/>
        </w:rPr>
        <w:t xml:space="preserve">ake urgent steps to </w:t>
      </w:r>
      <w:r>
        <w:rPr>
          <w:rFonts w:eastAsiaTheme="minorEastAsia" w:cs="Arial"/>
          <w:bCs/>
          <w:color w:val="191919"/>
          <w:szCs w:val="24"/>
          <w:lang w:val="en-US"/>
        </w:rPr>
        <w:t xml:space="preserve">address homelessness and </w:t>
      </w:r>
      <w:r w:rsidRPr="00C55CDC">
        <w:rPr>
          <w:rFonts w:eastAsiaTheme="minorEastAsia" w:cs="Arial"/>
          <w:bCs/>
          <w:color w:val="191919"/>
          <w:szCs w:val="24"/>
          <w:lang w:val="en-US"/>
        </w:rPr>
        <w:t>adopt legislation</w:t>
      </w:r>
      <w:r>
        <w:rPr>
          <w:rFonts w:eastAsiaTheme="minorEastAsia" w:cs="Arial"/>
          <w:bCs/>
          <w:color w:val="191919"/>
          <w:szCs w:val="24"/>
          <w:lang w:val="en-US"/>
        </w:rPr>
        <w:t xml:space="preserve"> </w:t>
      </w:r>
      <w:r w:rsidRPr="00C55CDC">
        <w:rPr>
          <w:rFonts w:eastAsiaTheme="minorEastAsia" w:cs="Arial"/>
          <w:bCs/>
          <w:color w:val="191919"/>
          <w:szCs w:val="24"/>
          <w:lang w:val="en-US"/>
        </w:rPr>
        <w:t>that fully recognizes the right to housing and provide for effective remedies for violations of the right</w:t>
      </w:r>
      <w:r w:rsidRPr="00C55CDC">
        <w:rPr>
          <w:rFonts w:eastAsia="Calibri" w:cs="Arial"/>
          <w:color w:val="000000" w:themeColor="text1"/>
          <w:szCs w:val="24"/>
        </w:rPr>
        <w:t>;</w:t>
      </w:r>
    </w:p>
    <w:p w14:paraId="724ED083" w14:textId="77777777" w:rsidR="0000349A" w:rsidRPr="00C55CDC" w:rsidRDefault="0000349A" w:rsidP="0000349A">
      <w:pPr>
        <w:ind w:left="360"/>
        <w:jc w:val="both"/>
        <w:rPr>
          <w:rFonts w:eastAsia="Calibri" w:cs="Arial"/>
          <w:color w:val="000000" w:themeColor="text1"/>
          <w:szCs w:val="24"/>
        </w:rPr>
      </w:pPr>
    </w:p>
    <w:p w14:paraId="54A21E4F" w14:textId="77777777" w:rsidR="0000349A" w:rsidRPr="00C55CDC" w:rsidRDefault="0000349A" w:rsidP="0000349A">
      <w:pPr>
        <w:pStyle w:val="ListParagraph"/>
        <w:numPr>
          <w:ilvl w:val="0"/>
          <w:numId w:val="1"/>
        </w:numPr>
        <w:jc w:val="both"/>
        <w:rPr>
          <w:rFonts w:cs="Arial"/>
          <w:color w:val="000000" w:themeColor="text1"/>
          <w:szCs w:val="24"/>
        </w:rPr>
      </w:pPr>
      <w:r w:rsidRPr="00C55CDC">
        <w:rPr>
          <w:rFonts w:eastAsia="Calibri" w:cs="Arial"/>
          <w:color w:val="000000" w:themeColor="text1"/>
          <w:szCs w:val="24"/>
        </w:rPr>
        <w:t xml:space="preserve">Ensure that Canadian </w:t>
      </w:r>
      <w:r w:rsidRPr="00C55CDC">
        <w:rPr>
          <w:rFonts w:cs="Arial"/>
          <w:color w:val="000000" w:themeColor="text1"/>
          <w:szCs w:val="24"/>
        </w:rPr>
        <w:t xml:space="preserve">mining, oil and gas companies are held accountable for the negative human rights impact of their operations abroad; </w:t>
      </w:r>
    </w:p>
    <w:p w14:paraId="6A71AC1E" w14:textId="77777777" w:rsidR="0000349A" w:rsidRPr="00C55CDC" w:rsidRDefault="0000349A" w:rsidP="0000349A">
      <w:pPr>
        <w:jc w:val="both"/>
        <w:rPr>
          <w:rFonts w:eastAsia="Calibri" w:cs="Arial"/>
          <w:color w:val="000000" w:themeColor="text1"/>
          <w:szCs w:val="24"/>
        </w:rPr>
      </w:pPr>
    </w:p>
    <w:p w14:paraId="25E4D890" w14:textId="77777777" w:rsidR="0000349A" w:rsidRPr="00C55CDC" w:rsidRDefault="0000349A" w:rsidP="0000349A">
      <w:pPr>
        <w:pStyle w:val="ListParagraph"/>
        <w:numPr>
          <w:ilvl w:val="0"/>
          <w:numId w:val="1"/>
        </w:numPr>
        <w:jc w:val="both"/>
        <w:rPr>
          <w:rFonts w:cs="Arial"/>
          <w:color w:val="000000" w:themeColor="text1"/>
          <w:szCs w:val="24"/>
        </w:rPr>
      </w:pPr>
      <w:r w:rsidRPr="00C55CDC">
        <w:rPr>
          <w:rFonts w:eastAsia="Calibri" w:cs="Arial"/>
          <w:color w:val="000000" w:themeColor="text1"/>
          <w:szCs w:val="24"/>
        </w:rPr>
        <w:t>Halt the practice of solitary confinement of prisoner; and</w:t>
      </w:r>
    </w:p>
    <w:p w14:paraId="5754C1BC" w14:textId="77777777" w:rsidR="0000349A" w:rsidRPr="00C55CDC" w:rsidRDefault="0000349A" w:rsidP="0000349A">
      <w:pPr>
        <w:jc w:val="both"/>
        <w:rPr>
          <w:rFonts w:cs="Arial"/>
          <w:color w:val="000000" w:themeColor="text1"/>
          <w:szCs w:val="24"/>
        </w:rPr>
      </w:pPr>
    </w:p>
    <w:p w14:paraId="699936B1" w14:textId="77777777" w:rsidR="0000349A" w:rsidRPr="00C55CDC" w:rsidRDefault="0000349A" w:rsidP="0000349A">
      <w:pPr>
        <w:pStyle w:val="ListParagraph"/>
        <w:numPr>
          <w:ilvl w:val="0"/>
          <w:numId w:val="1"/>
        </w:numPr>
        <w:jc w:val="both"/>
        <w:rPr>
          <w:rFonts w:cs="Arial"/>
          <w:color w:val="000000" w:themeColor="text1"/>
          <w:szCs w:val="24"/>
        </w:rPr>
      </w:pPr>
      <w:r w:rsidRPr="00C55CDC">
        <w:rPr>
          <w:rFonts w:cs="Arial"/>
          <w:color w:val="000000" w:themeColor="text1"/>
          <w:szCs w:val="24"/>
        </w:rPr>
        <w:t>Ratify the ICRMW</w:t>
      </w:r>
      <w:r>
        <w:rPr>
          <w:rFonts w:cs="Arial"/>
          <w:color w:val="000000" w:themeColor="text1"/>
          <w:szCs w:val="24"/>
        </w:rPr>
        <w:t>.</w:t>
      </w:r>
    </w:p>
    <w:p w14:paraId="21E8EFD2" w14:textId="77777777" w:rsidR="0000349A" w:rsidRPr="00C55CDC" w:rsidRDefault="0000349A" w:rsidP="0000349A">
      <w:pPr>
        <w:pBdr>
          <w:top w:val="nil"/>
          <w:left w:val="nil"/>
          <w:bottom w:val="nil"/>
          <w:right w:val="nil"/>
          <w:between w:val="nil"/>
        </w:pBdr>
        <w:spacing w:line="276" w:lineRule="auto"/>
        <w:jc w:val="both"/>
        <w:rPr>
          <w:rFonts w:eastAsia="Calibri" w:cs="Arial"/>
          <w:color w:val="000000" w:themeColor="text1"/>
          <w:szCs w:val="24"/>
        </w:rPr>
      </w:pPr>
    </w:p>
    <w:p w14:paraId="00450836" w14:textId="77777777" w:rsidR="0000349A" w:rsidRPr="00C55CDC" w:rsidRDefault="0000349A" w:rsidP="0000349A">
      <w:pPr>
        <w:jc w:val="both"/>
        <w:rPr>
          <w:szCs w:val="24"/>
        </w:rPr>
      </w:pPr>
      <w:r w:rsidRPr="00C55CDC">
        <w:rPr>
          <w:szCs w:val="24"/>
        </w:rPr>
        <w:t xml:space="preserve">We wish Canada success in the continued implementation of its accepted recommendations. </w:t>
      </w:r>
    </w:p>
    <w:p w14:paraId="7358A694" w14:textId="77777777" w:rsidR="0000349A" w:rsidRPr="00C55CDC" w:rsidRDefault="0000349A" w:rsidP="0000349A">
      <w:pPr>
        <w:jc w:val="both"/>
        <w:rPr>
          <w:szCs w:val="24"/>
        </w:rPr>
      </w:pPr>
    </w:p>
    <w:p w14:paraId="2AFB66FE" w14:textId="4E09C68D" w:rsidR="0000349A" w:rsidRPr="00C55CDC" w:rsidRDefault="0000349A" w:rsidP="0000349A">
      <w:pPr>
        <w:jc w:val="both"/>
        <w:rPr>
          <w:szCs w:val="24"/>
        </w:rPr>
      </w:pPr>
      <w:r w:rsidRPr="00C55CDC">
        <w:rPr>
          <w:szCs w:val="24"/>
        </w:rPr>
        <w:t xml:space="preserve">Thank you </w:t>
      </w:r>
      <w:r w:rsidR="00AD417F">
        <w:rPr>
          <w:szCs w:val="24"/>
        </w:rPr>
        <w:t xml:space="preserve">Mister </w:t>
      </w:r>
      <w:r w:rsidR="000D669C">
        <w:rPr>
          <w:rFonts w:cs="Arial"/>
          <w:szCs w:val="24"/>
        </w:rPr>
        <w:t>Vice-President</w:t>
      </w:r>
      <w:r w:rsidRPr="00C55CDC">
        <w:rPr>
          <w:szCs w:val="24"/>
        </w:rPr>
        <w:t>.</w:t>
      </w:r>
      <w:r>
        <w:rPr>
          <w:szCs w:val="24"/>
        </w:rPr>
        <w:t xml:space="preserve"> </w:t>
      </w:r>
      <w:r w:rsidRPr="00042BD6">
        <w:rPr>
          <w:b/>
          <w:szCs w:val="24"/>
        </w:rPr>
        <w:t>END</w:t>
      </w:r>
    </w:p>
    <w:p w14:paraId="09AADD71" w14:textId="77777777" w:rsidR="0000349A" w:rsidRPr="00C55CDC" w:rsidRDefault="0000349A" w:rsidP="0000349A">
      <w:pPr>
        <w:rPr>
          <w:szCs w:val="24"/>
        </w:rPr>
      </w:pPr>
    </w:p>
    <w:p w14:paraId="7AFDF03E" w14:textId="77777777" w:rsidR="0000349A" w:rsidRDefault="0000349A" w:rsidP="0000349A"/>
    <w:p w14:paraId="7AF68390" w14:textId="77777777" w:rsidR="001A5E34" w:rsidRDefault="001A5E34"/>
    <w:sectPr w:rsidR="001A5E34" w:rsidSect="00F65F59">
      <w:headerReference w:type="default" r:id="rId9"/>
      <w:pgSz w:w="11906" w:h="16838"/>
      <w:pgMar w:top="540" w:right="851" w:bottom="990" w:left="851"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49EC3" w14:textId="77777777" w:rsidR="005D63FD" w:rsidRDefault="005D63FD" w:rsidP="0000349A">
      <w:r>
        <w:separator/>
      </w:r>
    </w:p>
  </w:endnote>
  <w:endnote w:type="continuationSeparator" w:id="0">
    <w:p w14:paraId="6C7B1980" w14:textId="77777777" w:rsidR="005D63FD" w:rsidRDefault="005D63FD" w:rsidP="0000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9F604" w14:textId="77777777" w:rsidR="005D63FD" w:rsidRDefault="005D63FD" w:rsidP="0000349A">
      <w:r>
        <w:separator/>
      </w:r>
    </w:p>
  </w:footnote>
  <w:footnote w:type="continuationSeparator" w:id="0">
    <w:p w14:paraId="1A654483" w14:textId="77777777" w:rsidR="005D63FD" w:rsidRDefault="005D63FD" w:rsidP="0000349A">
      <w:r>
        <w:continuationSeparator/>
      </w:r>
    </w:p>
  </w:footnote>
  <w:footnote w:id="1">
    <w:p w14:paraId="7946ED5D" w14:textId="77777777" w:rsidR="000D669C" w:rsidRDefault="000D669C" w:rsidP="000D669C">
      <w:pPr>
        <w:pStyle w:val="FootnoteText"/>
        <w:jc w:val="both"/>
        <w:rPr>
          <w:rFonts w:ascii="Arial" w:eastAsiaTheme="minorEastAsia" w:hAnsi="Arial" w:cs="Arial"/>
          <w:color w:val="493F40"/>
        </w:rPr>
      </w:pPr>
      <w:r>
        <w:rPr>
          <w:rStyle w:val="FootnoteReference"/>
        </w:rPr>
        <w:footnoteRef/>
      </w:r>
      <w:r>
        <w:t xml:space="preserve"> </w:t>
      </w:r>
      <w:r w:rsidRPr="00DD416A">
        <w:rPr>
          <w:rFonts w:ascii="Arial" w:hAnsi="Arial" w:cs="Arial"/>
        </w:rPr>
        <w:t>Ca</w:t>
      </w:r>
      <w:r>
        <w:rPr>
          <w:rFonts w:ascii="Arial" w:hAnsi="Arial" w:cs="Arial"/>
        </w:rPr>
        <w:t>nada and Philippines teamed</w:t>
      </w:r>
      <w:r w:rsidRPr="00DD416A">
        <w:rPr>
          <w:rFonts w:ascii="Arial" w:hAnsi="Arial" w:cs="Arial"/>
        </w:rPr>
        <w:t xml:space="preserve"> up to pilot test the International Recruitment Integrity System (IRIS) develop</w:t>
      </w:r>
      <w:r>
        <w:rPr>
          <w:rFonts w:ascii="Arial" w:hAnsi="Arial" w:cs="Arial"/>
        </w:rPr>
        <w:t>ed</w:t>
      </w:r>
      <w:r w:rsidRPr="00DD416A">
        <w:rPr>
          <w:rFonts w:ascii="Arial" w:hAnsi="Arial" w:cs="Arial"/>
        </w:rPr>
        <w:t xml:space="preserve"> by the International Organization for Migration (IOM). </w:t>
      </w:r>
      <w:r w:rsidRPr="00DD416A">
        <w:rPr>
          <w:rFonts w:ascii="Arial" w:eastAsiaTheme="minorEastAsia" w:hAnsi="Arial" w:cs="Arial"/>
          <w:color w:val="493F40"/>
        </w:rPr>
        <w:t>IRIS is a social compliance scheme that is designed to promote ethical international recruitment.  It is comprised of an international standard, a voluntar</w:t>
      </w:r>
      <w:r>
        <w:rPr>
          <w:rFonts w:ascii="Arial" w:eastAsiaTheme="minorEastAsia" w:hAnsi="Arial" w:cs="Arial"/>
          <w:color w:val="493F40"/>
        </w:rPr>
        <w:t>y certification scheme for labo</w:t>
      </w:r>
      <w:r w:rsidRPr="00DD416A">
        <w:rPr>
          <w:rFonts w:ascii="Arial" w:eastAsiaTheme="minorEastAsia" w:hAnsi="Arial" w:cs="Arial"/>
          <w:color w:val="493F40"/>
        </w:rPr>
        <w:t>r recruiters and a compliance and monitoring mechanism</w:t>
      </w:r>
    </w:p>
    <w:p w14:paraId="57797478" w14:textId="77777777" w:rsidR="00A725CD" w:rsidRPr="00DD416A" w:rsidRDefault="00A725CD" w:rsidP="000D669C">
      <w:pPr>
        <w:pStyle w:val="FootnoteText"/>
        <w:jc w:val="both"/>
        <w:rPr>
          <w:rFonts w:ascii="Arial" w:hAnsi="Arial" w:cs="Arial"/>
        </w:rPr>
      </w:pPr>
    </w:p>
  </w:footnote>
  <w:footnote w:id="2">
    <w:p w14:paraId="38042221" w14:textId="77777777" w:rsidR="00D50C95" w:rsidRDefault="00D50C95" w:rsidP="0000349A">
      <w:pPr>
        <w:pStyle w:val="FootnoteText"/>
      </w:pPr>
      <w:r>
        <w:rPr>
          <w:rStyle w:val="FootnoteReference"/>
        </w:rPr>
        <w:footnoteRef/>
      </w:r>
      <w:r>
        <w:t xml:space="preserve"> </w:t>
      </w:r>
      <w:r w:rsidRPr="00A33204">
        <w:rPr>
          <w:rFonts w:ascii="Arial" w:eastAsiaTheme="minorEastAsia" w:hAnsi="Arial" w:cs="Arial"/>
          <w:color w:val="191919"/>
        </w:rPr>
        <w:t xml:space="preserve">Stephen </w:t>
      </w:r>
      <w:proofErr w:type="spellStart"/>
      <w:r w:rsidRPr="00A33204">
        <w:rPr>
          <w:rFonts w:ascii="Arial" w:eastAsiaTheme="minorEastAsia" w:hAnsi="Arial" w:cs="Arial"/>
          <w:color w:val="191919"/>
        </w:rPr>
        <w:t>Gaetz</w:t>
      </w:r>
      <w:proofErr w:type="spellEnd"/>
      <w:r w:rsidRPr="00A33204">
        <w:rPr>
          <w:rFonts w:ascii="Arial" w:eastAsiaTheme="minorEastAsia" w:hAnsi="Arial" w:cs="Arial"/>
          <w:color w:val="191919"/>
        </w:rPr>
        <w:t xml:space="preserve">, Erin Dej, Tim Richter, &amp; Melanie Redman, </w:t>
      </w:r>
      <w:proofErr w:type="gramStart"/>
      <w:r w:rsidRPr="00A33204">
        <w:rPr>
          <w:rFonts w:ascii="Arial" w:eastAsiaTheme="minorEastAsia" w:hAnsi="Arial" w:cs="Arial"/>
          <w:color w:val="191919"/>
        </w:rPr>
        <w:t>The</w:t>
      </w:r>
      <w:proofErr w:type="gramEnd"/>
      <w:r w:rsidRPr="00A33204">
        <w:rPr>
          <w:rFonts w:ascii="Arial" w:eastAsiaTheme="minorEastAsia" w:hAnsi="Arial" w:cs="Arial"/>
          <w:color w:val="191919"/>
        </w:rPr>
        <w:t xml:space="preserve"> State of Homelessness</w:t>
      </w:r>
      <w:r>
        <w:rPr>
          <w:rFonts w:ascii="Arial" w:eastAsiaTheme="minorEastAsia" w:hAnsi="Arial" w:cs="Arial"/>
          <w:color w:val="191919"/>
        </w:rPr>
        <w:t xml:space="preserve"> in Canada 2016. available in </w:t>
      </w:r>
      <w:r w:rsidRPr="00A33204">
        <w:rPr>
          <w:rFonts w:ascii="Arial" w:eastAsiaTheme="minorEastAsia" w:hAnsi="Arial" w:cs="Arial"/>
          <w:color w:val="191919"/>
        </w:rPr>
        <w:t xml:space="preserve"> </w:t>
      </w:r>
      <w:hyperlink r:id="rId1" w:history="1">
        <w:r w:rsidRPr="00A33204">
          <w:rPr>
            <w:rFonts w:ascii="Arial" w:eastAsiaTheme="minorEastAsia" w:hAnsi="Arial" w:cs="Arial"/>
            <w:color w:val="0000E9"/>
            <w:u w:val="single" w:color="0000E9"/>
          </w:rPr>
          <w:t>http://homelesshub.ca/sites/default/files/SOHC16_final_20Oct2016.pdf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E430" w14:textId="77777777" w:rsidR="00D50C95" w:rsidRDefault="00D50C95" w:rsidP="00F65F59">
    <w:pPr>
      <w:pStyle w:val="Header"/>
      <w:jc w:val="right"/>
    </w:pPr>
  </w:p>
  <w:p w14:paraId="2850C55A" w14:textId="77777777" w:rsidR="00D50C95" w:rsidRDefault="00D50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31542"/>
    <w:multiLevelType w:val="hybridMultilevel"/>
    <w:tmpl w:val="A2F873E4"/>
    <w:lvl w:ilvl="0" w:tplc="F4EA6636">
      <w:start w:val="1"/>
      <w:numFmt w:val="decimal"/>
      <w:lvlText w:val="%1."/>
      <w:lvlJc w:val="left"/>
      <w:pPr>
        <w:ind w:left="720" w:hanging="360"/>
      </w:pPr>
      <w:rPr>
        <w:rFonts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9A"/>
    <w:rsid w:val="0000349A"/>
    <w:rsid w:val="00056C19"/>
    <w:rsid w:val="000D669C"/>
    <w:rsid w:val="000E5B9D"/>
    <w:rsid w:val="001A5E34"/>
    <w:rsid w:val="005D63FD"/>
    <w:rsid w:val="009526F1"/>
    <w:rsid w:val="00A725CD"/>
    <w:rsid w:val="00AD417F"/>
    <w:rsid w:val="00D50C95"/>
    <w:rsid w:val="00DD416A"/>
    <w:rsid w:val="00F65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BE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9A"/>
    <w:rPr>
      <w:rFonts w:ascii="Arial" w:eastAsiaTheme="minorHAnsi"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49A"/>
    <w:pPr>
      <w:tabs>
        <w:tab w:val="center" w:pos="4513"/>
        <w:tab w:val="right" w:pos="9026"/>
      </w:tabs>
    </w:pPr>
  </w:style>
  <w:style w:type="character" w:customStyle="1" w:styleId="HeaderChar">
    <w:name w:val="Header Char"/>
    <w:basedOn w:val="DefaultParagraphFont"/>
    <w:link w:val="Header"/>
    <w:uiPriority w:val="99"/>
    <w:rsid w:val="0000349A"/>
    <w:rPr>
      <w:rFonts w:ascii="Arial" w:eastAsiaTheme="minorHAnsi" w:hAnsi="Arial"/>
      <w:szCs w:val="22"/>
      <w:lang w:val="en-GB"/>
    </w:rPr>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00349A"/>
    <w:pPr>
      <w:ind w:left="720"/>
      <w:contextualSpacing/>
    </w:pPr>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00349A"/>
    <w:rPr>
      <w:rFonts w:ascii="Arial" w:eastAsiaTheme="minorHAnsi" w:hAnsi="Arial"/>
      <w:szCs w:val="22"/>
      <w:lang w:val="en-GB"/>
    </w:rPr>
  </w:style>
  <w:style w:type="paragraph" w:styleId="FootnoteText">
    <w:name w:val="footnote text"/>
    <w:aliases w:val="Footnote Text Char1,Footnote Text Char Char3 Char,Footnote Text Char2 Char1 Char Char,Footnote Text Char Char Char1 Char Char,Footnote Text Char1 Char1 Char Char Char,Footnote Text Char1 Char1,Char,Footnote Text Char Char Char Char Char Ch"/>
    <w:basedOn w:val="Normal"/>
    <w:link w:val="FootnoteTextChar"/>
    <w:uiPriority w:val="99"/>
    <w:unhideWhenUsed/>
    <w:qFormat/>
    <w:rsid w:val="0000349A"/>
    <w:rPr>
      <w:rFonts w:asciiTheme="minorHAnsi" w:hAnsiTheme="minorHAnsi"/>
      <w:sz w:val="20"/>
      <w:szCs w:val="20"/>
      <w:lang w:val="en-US"/>
    </w:rPr>
  </w:style>
  <w:style w:type="character" w:customStyle="1" w:styleId="FootnoteTextChar">
    <w:name w:val="Footnote Text Char"/>
    <w:aliases w:val="Footnote Text Char1 Char,Footnote Text Char Char3 Char Char,Footnote Text Char2 Char1 Char Char Char,Footnote Text Char Char Char1 Char Char Char,Footnote Text Char1 Char1 Char Char Char Char,Footnote Text Char1 Char1 Char,Char Char"/>
    <w:basedOn w:val="DefaultParagraphFont"/>
    <w:link w:val="FootnoteText"/>
    <w:uiPriority w:val="99"/>
    <w:rsid w:val="0000349A"/>
    <w:rPr>
      <w:rFonts w:eastAsiaTheme="minorHAnsi"/>
      <w:sz w:val="20"/>
      <w:szCs w:val="20"/>
    </w:rPr>
  </w:style>
  <w:style w:type="character" w:styleId="FootnoteReference">
    <w:name w:val="footnote reference"/>
    <w:aliases w:val="ftref,footnote ref,Footnotes refss,16 Point,Superscript 6 Point,Footnote Reference11,Footnote Reference1,footnote reference,Footnote Reference13,FOOTNOTE,stylish,fr,Footnote text,(NECG) Footnote Reference"/>
    <w:basedOn w:val="DefaultParagraphFont"/>
    <w:uiPriority w:val="99"/>
    <w:unhideWhenUsed/>
    <w:rsid w:val="000034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49A"/>
    <w:rPr>
      <w:rFonts w:ascii="Arial" w:eastAsiaTheme="minorHAnsi"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49A"/>
    <w:pPr>
      <w:tabs>
        <w:tab w:val="center" w:pos="4513"/>
        <w:tab w:val="right" w:pos="9026"/>
      </w:tabs>
    </w:pPr>
  </w:style>
  <w:style w:type="character" w:customStyle="1" w:styleId="HeaderChar">
    <w:name w:val="Header Char"/>
    <w:basedOn w:val="DefaultParagraphFont"/>
    <w:link w:val="Header"/>
    <w:uiPriority w:val="99"/>
    <w:rsid w:val="0000349A"/>
    <w:rPr>
      <w:rFonts w:ascii="Arial" w:eastAsiaTheme="minorHAnsi" w:hAnsi="Arial"/>
      <w:szCs w:val="22"/>
      <w:lang w:val="en-GB"/>
    </w:rPr>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00349A"/>
    <w:pPr>
      <w:ind w:left="720"/>
      <w:contextualSpacing/>
    </w:pPr>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00349A"/>
    <w:rPr>
      <w:rFonts w:ascii="Arial" w:eastAsiaTheme="minorHAnsi" w:hAnsi="Arial"/>
      <w:szCs w:val="22"/>
      <w:lang w:val="en-GB"/>
    </w:rPr>
  </w:style>
  <w:style w:type="paragraph" w:styleId="FootnoteText">
    <w:name w:val="footnote text"/>
    <w:aliases w:val="Footnote Text Char1,Footnote Text Char Char3 Char,Footnote Text Char2 Char1 Char Char,Footnote Text Char Char Char1 Char Char,Footnote Text Char1 Char1 Char Char Char,Footnote Text Char1 Char1,Char,Footnote Text Char Char Char Char Char Ch"/>
    <w:basedOn w:val="Normal"/>
    <w:link w:val="FootnoteTextChar"/>
    <w:uiPriority w:val="99"/>
    <w:unhideWhenUsed/>
    <w:qFormat/>
    <w:rsid w:val="0000349A"/>
    <w:rPr>
      <w:rFonts w:asciiTheme="minorHAnsi" w:hAnsiTheme="minorHAnsi"/>
      <w:sz w:val="20"/>
      <w:szCs w:val="20"/>
      <w:lang w:val="en-US"/>
    </w:rPr>
  </w:style>
  <w:style w:type="character" w:customStyle="1" w:styleId="FootnoteTextChar">
    <w:name w:val="Footnote Text Char"/>
    <w:aliases w:val="Footnote Text Char1 Char,Footnote Text Char Char3 Char Char,Footnote Text Char2 Char1 Char Char Char,Footnote Text Char Char Char1 Char Char Char,Footnote Text Char1 Char1 Char Char Char Char,Footnote Text Char1 Char1 Char,Char Char"/>
    <w:basedOn w:val="DefaultParagraphFont"/>
    <w:link w:val="FootnoteText"/>
    <w:uiPriority w:val="99"/>
    <w:rsid w:val="0000349A"/>
    <w:rPr>
      <w:rFonts w:eastAsiaTheme="minorHAnsi"/>
      <w:sz w:val="20"/>
      <w:szCs w:val="20"/>
    </w:rPr>
  </w:style>
  <w:style w:type="character" w:styleId="FootnoteReference">
    <w:name w:val="footnote reference"/>
    <w:aliases w:val="ftref,footnote ref,Footnotes refss,16 Point,Superscript 6 Point,Footnote Reference11,Footnote Reference1,footnote reference,Footnote Reference13,FOOTNOTE,stylish,fr,Footnote text,(NECG) Footnote Reference"/>
    <w:basedOn w:val="DefaultParagraphFont"/>
    <w:uiPriority w:val="99"/>
    <w:unhideWhenUsed/>
    <w:rsid w:val="000034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homelesshub.ca/sites/default/files/SOHC16_final_20Oc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99406-C1C5-4492-8C5F-CDC4BB0A6E49}"/>
</file>

<file path=customXml/itemProps2.xml><?xml version="1.0" encoding="utf-8"?>
<ds:datastoreItem xmlns:ds="http://schemas.openxmlformats.org/officeDocument/2006/customXml" ds:itemID="{845A86D8-8F27-4218-9F76-6A282CF143D9}"/>
</file>

<file path=customXml/itemProps3.xml><?xml version="1.0" encoding="utf-8"?>
<ds:datastoreItem xmlns:ds="http://schemas.openxmlformats.org/officeDocument/2006/customXml" ds:itemID="{85F06019-B8FE-4812-9749-7F311BFDB97D}"/>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Chona </cp:lastModifiedBy>
  <cp:revision>2</cp:revision>
  <dcterms:created xsi:type="dcterms:W3CDTF">2018-05-22T15:57:00Z</dcterms:created>
  <dcterms:modified xsi:type="dcterms:W3CDTF">2018-05-22T15:57:00Z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