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7E55" w14:textId="77777777" w:rsidR="005C7267" w:rsidRDefault="005C7267" w:rsidP="005C7267">
      <w:pPr>
        <w:pStyle w:val="uLinie"/>
        <w:spacing w:after="454"/>
        <w:rPr>
          <w:lang w:val="en-GB"/>
        </w:rPr>
      </w:pPr>
    </w:p>
    <w:p w14:paraId="16D84C63" w14:textId="77777777"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2F72CB6" w14:textId="77777777" w:rsidR="005C7267" w:rsidRDefault="00211B40" w:rsidP="005C7267">
      <w:pPr>
        <w:jc w:val="center"/>
        <w:rPr>
          <w:lang w:val="fr-CH"/>
        </w:rPr>
      </w:pPr>
      <w:r>
        <w:rPr>
          <w:lang w:val="fr-CH"/>
        </w:rPr>
        <w:t>3</w:t>
      </w:r>
      <w:r w:rsidR="009B4E45">
        <w:rPr>
          <w:lang w:val="fr-CH"/>
        </w:rPr>
        <w:t>0</w:t>
      </w:r>
      <w:r w:rsidR="005C7267">
        <w:rPr>
          <w:vertAlign w:val="superscript"/>
          <w:lang w:val="fr-CH"/>
        </w:rPr>
        <w:t>e</w:t>
      </w:r>
      <w:r w:rsidR="005C7267">
        <w:rPr>
          <w:lang w:val="fr-CH"/>
        </w:rPr>
        <w:t xml:space="preserve"> session du Groupe de travail sur l’Examen périodique universel </w:t>
      </w:r>
    </w:p>
    <w:p w14:paraId="5F7B052D" w14:textId="77777777"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D827EFF" w14:textId="77777777" w:rsidR="005C7267" w:rsidRPr="00211B40" w:rsidRDefault="008351FE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proofErr w:type="spellStart"/>
      <w:r>
        <w:rPr>
          <w:b/>
          <w:sz w:val="32"/>
          <w:szCs w:val="32"/>
          <w:lang w:val="fr-CH"/>
        </w:rPr>
        <w:t>Turkmenistan</w:t>
      </w:r>
      <w:proofErr w:type="spellEnd"/>
    </w:p>
    <w:p w14:paraId="624EB97A" w14:textId="77777777" w:rsidR="005C7267" w:rsidRPr="00211B40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12E6A0C" w14:textId="77777777" w:rsidR="005C7267" w:rsidRPr="00211B40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211B40">
        <w:rPr>
          <w:sz w:val="20"/>
          <w:szCs w:val="20"/>
          <w:lang w:val="fr-CH"/>
        </w:rPr>
        <w:t>Genève, le</w:t>
      </w:r>
      <w:r w:rsidR="009B4E45">
        <w:rPr>
          <w:sz w:val="20"/>
          <w:szCs w:val="20"/>
          <w:lang w:val="fr-CH"/>
        </w:rPr>
        <w:t xml:space="preserve"> 7</w:t>
      </w:r>
      <w:r w:rsidR="00211B40">
        <w:rPr>
          <w:sz w:val="20"/>
          <w:szCs w:val="20"/>
          <w:lang w:val="fr-CH"/>
        </w:rPr>
        <w:t xml:space="preserve"> mai 2018</w:t>
      </w:r>
    </w:p>
    <w:p w14:paraId="6CA6F0F9" w14:textId="77777777" w:rsidR="005C7267" w:rsidRPr="00211B40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B777D83" w14:textId="77777777"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1216F61D" w14:textId="77777777"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14:paraId="15EC831D" w14:textId="77777777" w:rsidR="005C7267" w:rsidRDefault="005C7267" w:rsidP="005C7267">
      <w:pPr>
        <w:rPr>
          <w:lang w:val="fr-CH"/>
        </w:rPr>
      </w:pPr>
    </w:p>
    <w:p w14:paraId="2D6EBB70" w14:textId="77777777" w:rsidR="006801FD" w:rsidRDefault="005C7267" w:rsidP="00E94A2D">
      <w:pPr>
        <w:spacing w:after="12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14:paraId="0C19919B" w14:textId="4514F7A3" w:rsidR="00A12A05" w:rsidRDefault="0005477B" w:rsidP="00E94A2D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Nous souhaitons</w:t>
      </w:r>
      <w:r w:rsidR="00A12A05" w:rsidRPr="00A12A05">
        <w:rPr>
          <w:rFonts w:cs="Arial"/>
          <w:lang w:val="fr-CH"/>
        </w:rPr>
        <w:t xml:space="preserve"> la bienvenue à la délégation du Turkménistan.  </w:t>
      </w:r>
    </w:p>
    <w:p w14:paraId="4BF39996" w14:textId="137EFA19" w:rsidR="00424B85" w:rsidRDefault="005A4AC1" w:rsidP="00E94A2D">
      <w:pPr>
        <w:spacing w:after="120" w:line="360" w:lineRule="auto"/>
        <w:jc w:val="both"/>
        <w:rPr>
          <w:lang w:val="fr-CH"/>
        </w:rPr>
      </w:pPr>
      <w:r>
        <w:rPr>
          <w:rFonts w:cs="Arial"/>
          <w:lang w:val="fr-CH"/>
        </w:rPr>
        <w:t xml:space="preserve">La Suisse </w:t>
      </w:r>
      <w:r w:rsidR="00C640AF">
        <w:rPr>
          <w:rFonts w:cs="Arial"/>
          <w:lang w:val="fr-CH"/>
        </w:rPr>
        <w:t xml:space="preserve">déplore </w:t>
      </w:r>
      <w:r w:rsidR="00A12A05">
        <w:rPr>
          <w:rFonts w:cs="Arial"/>
          <w:lang w:val="fr-CH"/>
        </w:rPr>
        <w:t>la situation des droits de l’homme au Turkménistan</w:t>
      </w:r>
      <w:r w:rsidR="003A441F">
        <w:rPr>
          <w:rFonts w:cs="Arial"/>
          <w:lang w:val="fr-CH"/>
        </w:rPr>
        <w:t xml:space="preserve"> et constate qu’elle</w:t>
      </w:r>
      <w:r w:rsidR="00A12A05">
        <w:rPr>
          <w:rFonts w:cs="Arial"/>
          <w:lang w:val="fr-CH"/>
        </w:rPr>
        <w:t xml:space="preserve"> </w:t>
      </w:r>
      <w:r w:rsidR="00FC6969">
        <w:rPr>
          <w:rFonts w:cs="Arial"/>
          <w:lang w:val="fr-CH"/>
        </w:rPr>
        <w:t>ne s’est pas amélioré</w:t>
      </w:r>
      <w:r w:rsidR="003A441F">
        <w:rPr>
          <w:rFonts w:cs="Arial"/>
          <w:lang w:val="fr-CH"/>
        </w:rPr>
        <w:t>e</w:t>
      </w:r>
      <w:r w:rsidR="00FC6969">
        <w:rPr>
          <w:rFonts w:cs="Arial"/>
          <w:lang w:val="fr-CH"/>
        </w:rPr>
        <w:t xml:space="preserve"> depuis le dernier examen</w:t>
      </w:r>
      <w:bookmarkStart w:id="0" w:name="_GoBack"/>
      <w:bookmarkEnd w:id="0"/>
      <w:r w:rsidR="00424B85">
        <w:rPr>
          <w:lang w:val="fr-CH"/>
        </w:rPr>
        <w:t>.</w:t>
      </w:r>
    </w:p>
    <w:p w14:paraId="5B57E4C2" w14:textId="370ABA1E" w:rsidR="005E305F" w:rsidRPr="00FC6969" w:rsidRDefault="009E0FAE" w:rsidP="00E94A2D">
      <w:pPr>
        <w:spacing w:after="120" w:line="360" w:lineRule="auto"/>
        <w:jc w:val="both"/>
        <w:rPr>
          <w:lang w:val="fr-CH"/>
        </w:rPr>
      </w:pPr>
      <w:r>
        <w:rPr>
          <w:rFonts w:cs="Arial"/>
          <w:lang w:val="fr-CH"/>
        </w:rPr>
        <w:t>Elle</w:t>
      </w:r>
      <w:r w:rsidRPr="001B0BD7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note que le </w:t>
      </w:r>
      <w:r w:rsidR="003A441F" w:rsidRPr="00A12A05">
        <w:rPr>
          <w:rFonts w:cs="Arial"/>
          <w:lang w:val="fr-CH"/>
        </w:rPr>
        <w:t>Turkménistan</w:t>
      </w:r>
      <w:r>
        <w:rPr>
          <w:rFonts w:cs="Arial"/>
          <w:lang w:val="fr-CH"/>
        </w:rPr>
        <w:t xml:space="preserve"> s’est engagé dans son Plan d’action pour les droits de l’</w:t>
      </w:r>
      <w:r w:rsidR="005E305F">
        <w:rPr>
          <w:rFonts w:cs="Arial"/>
          <w:lang w:val="fr-CH"/>
        </w:rPr>
        <w:t>homme 2016-2020 à</w:t>
      </w:r>
      <w:r w:rsidR="005E305F" w:rsidRPr="00BF3733">
        <w:rPr>
          <w:lang w:val="fr-CH"/>
        </w:rPr>
        <w:t xml:space="preserve"> </w:t>
      </w:r>
      <w:r w:rsidR="00FC6969">
        <w:rPr>
          <w:lang w:val="fr-CH"/>
        </w:rPr>
        <w:t>permettre</w:t>
      </w:r>
      <w:r w:rsidR="005E305F" w:rsidRPr="00BF3733">
        <w:rPr>
          <w:lang w:val="fr-CH"/>
        </w:rPr>
        <w:t xml:space="preserve"> de nouvelles visites des procédures spéciales</w:t>
      </w:r>
      <w:r w:rsidR="005E305F">
        <w:rPr>
          <w:lang w:val="fr-CH"/>
        </w:rPr>
        <w:t>.</w:t>
      </w:r>
      <w:r w:rsidR="006348E2">
        <w:rPr>
          <w:lang w:val="fr-CH"/>
        </w:rPr>
        <w:t xml:space="preserve"> </w:t>
      </w:r>
      <w:r w:rsidR="005E305F">
        <w:rPr>
          <w:rFonts w:cs="Arial"/>
          <w:lang w:val="fr-CH"/>
        </w:rPr>
        <w:t xml:space="preserve">Toutefois, </w:t>
      </w:r>
      <w:r w:rsidR="005E305F" w:rsidRPr="005E305F">
        <w:rPr>
          <w:rFonts w:cs="Arial"/>
          <w:lang w:val="fr-CH"/>
        </w:rPr>
        <w:t>plus d'une douzaine de demandes sont en attente, certa</w:t>
      </w:r>
      <w:r w:rsidR="009F6171">
        <w:rPr>
          <w:rFonts w:cs="Arial"/>
          <w:lang w:val="fr-CH"/>
        </w:rPr>
        <w:t>ines depuis plus de dix ans.</w:t>
      </w:r>
    </w:p>
    <w:p w14:paraId="55EFDB70" w14:textId="38AD3DDA" w:rsidR="005E305F" w:rsidRDefault="005E305F" w:rsidP="00E94A2D">
      <w:pPr>
        <w:spacing w:after="120" w:line="360" w:lineRule="auto"/>
        <w:jc w:val="both"/>
        <w:rPr>
          <w:rFonts w:cs="Arial"/>
          <w:lang w:val="fr-CH"/>
        </w:rPr>
      </w:pPr>
      <w:r w:rsidRPr="00805BDF">
        <w:rPr>
          <w:rFonts w:cs="Arial"/>
          <w:b/>
          <w:lang w:val="fr-CH"/>
        </w:rPr>
        <w:t xml:space="preserve">La Suisse recommande au </w:t>
      </w:r>
      <w:r w:rsidR="003A441F" w:rsidRPr="00805BDF">
        <w:rPr>
          <w:rFonts w:cs="Arial"/>
          <w:b/>
          <w:lang w:val="fr-CH"/>
        </w:rPr>
        <w:t xml:space="preserve">Turkménistan </w:t>
      </w:r>
      <w:r w:rsidRPr="00805BDF">
        <w:rPr>
          <w:rFonts w:cs="Arial"/>
          <w:b/>
          <w:lang w:val="fr-CH"/>
        </w:rPr>
        <w:t>de collaborer avec les procédures spéciales</w:t>
      </w:r>
      <w:r w:rsidR="003A441F" w:rsidRPr="00805BDF">
        <w:rPr>
          <w:rFonts w:cs="Arial"/>
          <w:b/>
          <w:lang w:val="fr-CH"/>
        </w:rPr>
        <w:t>,</w:t>
      </w:r>
      <w:r w:rsidRPr="00805BDF">
        <w:rPr>
          <w:rFonts w:cs="Arial"/>
          <w:b/>
          <w:lang w:val="fr-CH"/>
        </w:rPr>
        <w:t xml:space="preserve"> notamment le Rapporteur Spécial sur la torture, le Groupe</w:t>
      </w:r>
      <w:r w:rsidRPr="005E305F">
        <w:rPr>
          <w:rFonts w:cs="Arial"/>
          <w:b/>
          <w:lang w:val="fr-CH"/>
        </w:rPr>
        <w:t xml:space="preserve"> de travail sur la détention arbitraire ainsi que du Groupe de travail sur les disparitions forcées</w:t>
      </w:r>
      <w:r w:rsidR="003A441F">
        <w:rPr>
          <w:rFonts w:cs="Arial"/>
          <w:b/>
          <w:lang w:val="fr-CH"/>
        </w:rPr>
        <w:t>,</w:t>
      </w:r>
      <w:r w:rsidRPr="005E305F">
        <w:rPr>
          <w:rFonts w:cs="Arial"/>
          <w:b/>
          <w:lang w:val="fr-CH"/>
        </w:rPr>
        <w:t xml:space="preserve"> en les accueillant cas échéant dans le pays</w:t>
      </w:r>
      <w:r>
        <w:rPr>
          <w:rFonts w:cs="Arial"/>
          <w:lang w:val="fr-CH"/>
        </w:rPr>
        <w:t>.</w:t>
      </w:r>
    </w:p>
    <w:p w14:paraId="6DC24647" w14:textId="692A990D" w:rsidR="006348E2" w:rsidRDefault="005E305F" w:rsidP="00381884">
      <w:pPr>
        <w:spacing w:after="120" w:line="360" w:lineRule="auto"/>
        <w:jc w:val="both"/>
        <w:rPr>
          <w:lang w:val="fr-CH"/>
        </w:rPr>
      </w:pPr>
      <w:r>
        <w:rPr>
          <w:rFonts w:cs="Arial"/>
          <w:lang w:val="fr-CH"/>
        </w:rPr>
        <w:t>Notre pays reste particulièrement préoccupé par</w:t>
      </w:r>
      <w:r w:rsidR="006348E2">
        <w:rPr>
          <w:rFonts w:cs="Arial"/>
          <w:lang w:val="fr-CH"/>
        </w:rPr>
        <w:t xml:space="preserve"> </w:t>
      </w:r>
      <w:r w:rsidR="000221A6">
        <w:rPr>
          <w:rFonts w:cs="Arial"/>
          <w:lang w:val="fr-CH"/>
        </w:rPr>
        <w:t xml:space="preserve">le </w:t>
      </w:r>
      <w:r w:rsidR="000221A6" w:rsidRPr="000221A6">
        <w:rPr>
          <w:rFonts w:cs="Arial"/>
          <w:lang w:val="fr-CH"/>
        </w:rPr>
        <w:t>taux d'incarcération élevé</w:t>
      </w:r>
      <w:r w:rsidR="000221A6">
        <w:rPr>
          <w:rFonts w:cs="Arial"/>
          <w:lang w:val="fr-CH"/>
        </w:rPr>
        <w:t xml:space="preserve"> et les</w:t>
      </w:r>
      <w:r w:rsidR="006348E2">
        <w:rPr>
          <w:rFonts w:cs="Arial"/>
          <w:lang w:val="fr-CH"/>
        </w:rPr>
        <w:t xml:space="preserve"> conditions </w:t>
      </w:r>
      <w:r w:rsidR="003A441F">
        <w:rPr>
          <w:rFonts w:cs="Arial"/>
          <w:lang w:val="fr-CH"/>
        </w:rPr>
        <w:t xml:space="preserve">inhumaines </w:t>
      </w:r>
      <w:r w:rsidR="006348E2">
        <w:rPr>
          <w:rFonts w:cs="Arial"/>
          <w:lang w:val="fr-CH"/>
        </w:rPr>
        <w:t>de détention</w:t>
      </w:r>
      <w:r w:rsidR="00351C06">
        <w:rPr>
          <w:lang w:val="fr-CH"/>
        </w:rPr>
        <w:t>.</w:t>
      </w:r>
    </w:p>
    <w:p w14:paraId="510F15E4" w14:textId="223E8528" w:rsidR="009E0FAE" w:rsidRPr="00805BDF" w:rsidRDefault="009E0FAE" w:rsidP="00381884">
      <w:pPr>
        <w:spacing w:after="120" w:line="360" w:lineRule="auto"/>
        <w:jc w:val="both"/>
        <w:rPr>
          <w:rFonts w:cs="Arial"/>
          <w:b/>
          <w:lang w:val="fr-CH"/>
        </w:rPr>
      </w:pPr>
      <w:r w:rsidRPr="00805BDF">
        <w:rPr>
          <w:rFonts w:cs="Arial"/>
          <w:b/>
          <w:lang w:val="fr-CH"/>
        </w:rPr>
        <w:t xml:space="preserve">La Suisse recommande au </w:t>
      </w:r>
      <w:r w:rsidR="003A441F" w:rsidRPr="00805BDF">
        <w:rPr>
          <w:rFonts w:cs="Arial"/>
          <w:b/>
          <w:lang w:val="fr-CH"/>
        </w:rPr>
        <w:t>Turkménistan</w:t>
      </w:r>
      <w:r w:rsidRPr="00805BDF">
        <w:rPr>
          <w:rFonts w:cs="Arial"/>
          <w:b/>
          <w:lang w:val="fr-CH"/>
        </w:rPr>
        <w:t xml:space="preserve"> d’améliorer les conditions de détention</w:t>
      </w:r>
      <w:r w:rsidR="003A441F" w:rsidRPr="00805BDF">
        <w:rPr>
          <w:rFonts w:cs="Arial"/>
          <w:b/>
          <w:lang w:val="fr-CH"/>
        </w:rPr>
        <w:t>,</w:t>
      </w:r>
      <w:r w:rsidRPr="00805BDF">
        <w:rPr>
          <w:rFonts w:cs="Arial"/>
          <w:b/>
          <w:lang w:val="fr-CH"/>
        </w:rPr>
        <w:t xml:space="preserve"> conformément aux normes et règlements internationaux</w:t>
      </w:r>
      <w:r w:rsidR="003A441F" w:rsidRPr="00805BDF">
        <w:rPr>
          <w:rFonts w:cs="Arial"/>
          <w:b/>
          <w:lang w:val="fr-CH"/>
        </w:rPr>
        <w:t>,</w:t>
      </w:r>
      <w:r w:rsidRPr="00805BDF">
        <w:rPr>
          <w:rFonts w:cs="Arial"/>
          <w:b/>
          <w:lang w:val="fr-CH"/>
        </w:rPr>
        <w:t xml:space="preserve"> notamment les règles minima des Nations Unies pour le traitement de</w:t>
      </w:r>
      <w:r w:rsidR="000221A6" w:rsidRPr="00805BDF">
        <w:rPr>
          <w:rFonts w:cs="Arial"/>
          <w:b/>
          <w:lang w:val="fr-CH"/>
        </w:rPr>
        <w:t>s détenus, les Règles Nelson Mandela</w:t>
      </w:r>
      <w:r w:rsidRPr="00805BDF">
        <w:rPr>
          <w:rFonts w:cs="Arial"/>
          <w:b/>
          <w:lang w:val="fr-CH"/>
        </w:rPr>
        <w:t>.</w:t>
      </w:r>
    </w:p>
    <w:p w14:paraId="4AC7AEA9" w14:textId="5387058E" w:rsidR="00D036E7" w:rsidRPr="006801FD" w:rsidRDefault="005E305F" w:rsidP="00D036E7">
      <w:pPr>
        <w:rPr>
          <w:lang w:val="fr-CH"/>
        </w:rPr>
      </w:pPr>
      <w:r>
        <w:rPr>
          <w:rFonts w:cs="Arial"/>
          <w:lang w:val="fr-CH"/>
        </w:rPr>
        <w:t>Je vous remercie.</w:t>
      </w:r>
    </w:p>
    <w:sectPr w:rsidR="00D036E7" w:rsidRPr="006801FD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57C0" w14:textId="77777777" w:rsidR="00323856" w:rsidRDefault="00323856">
      <w:r>
        <w:separator/>
      </w:r>
    </w:p>
  </w:endnote>
  <w:endnote w:type="continuationSeparator" w:id="0">
    <w:p w14:paraId="334969D6" w14:textId="77777777" w:rsidR="00323856" w:rsidRDefault="0032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C655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1E6996C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3CA1959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0B3B48FF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7C6C140F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FDFB" w14:textId="77777777" w:rsidR="00323856" w:rsidRDefault="00323856">
      <w:r>
        <w:separator/>
      </w:r>
    </w:p>
  </w:footnote>
  <w:footnote w:type="continuationSeparator" w:id="0">
    <w:p w14:paraId="0CE2779D" w14:textId="77777777" w:rsidR="00323856" w:rsidRDefault="0032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5BC2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42895F25" w14:textId="77777777">
      <w:trPr>
        <w:cantSplit/>
        <w:trHeight w:hRule="exact" w:val="1840"/>
      </w:trPr>
      <w:tc>
        <w:tcPr>
          <w:tcW w:w="4848" w:type="dxa"/>
        </w:tcPr>
        <w:p w14:paraId="7AEACDFF" w14:textId="77777777" w:rsidR="00B82727" w:rsidRDefault="003F744B">
          <w:pPr>
            <w:pStyle w:val="Logo"/>
          </w:pPr>
          <w:r>
            <w:drawing>
              <wp:inline distT="0" distB="0" distL="0" distR="0" wp14:anchorId="52176370" wp14:editId="664EA2F7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CEDA7E6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44EEA8F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2B13D733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221A6"/>
    <w:rsid w:val="00024EB0"/>
    <w:rsid w:val="00045117"/>
    <w:rsid w:val="000508D7"/>
    <w:rsid w:val="00051097"/>
    <w:rsid w:val="0005477B"/>
    <w:rsid w:val="000622FC"/>
    <w:rsid w:val="000625B7"/>
    <w:rsid w:val="00066C7C"/>
    <w:rsid w:val="000A1BF1"/>
    <w:rsid w:val="000C2085"/>
    <w:rsid w:val="000C7D9A"/>
    <w:rsid w:val="0010338A"/>
    <w:rsid w:val="00112BFC"/>
    <w:rsid w:val="001545DE"/>
    <w:rsid w:val="001601BD"/>
    <w:rsid w:val="00175BAB"/>
    <w:rsid w:val="001B0BD7"/>
    <w:rsid w:val="001E018C"/>
    <w:rsid w:val="00211B40"/>
    <w:rsid w:val="00234758"/>
    <w:rsid w:val="002403DC"/>
    <w:rsid w:val="002966B8"/>
    <w:rsid w:val="002A798D"/>
    <w:rsid w:val="002F6BEE"/>
    <w:rsid w:val="00306F6B"/>
    <w:rsid w:val="00323856"/>
    <w:rsid w:val="003404A2"/>
    <w:rsid w:val="00351C06"/>
    <w:rsid w:val="00381884"/>
    <w:rsid w:val="00385841"/>
    <w:rsid w:val="0039660B"/>
    <w:rsid w:val="003A272F"/>
    <w:rsid w:val="003A441F"/>
    <w:rsid w:val="003C3814"/>
    <w:rsid w:val="003C5228"/>
    <w:rsid w:val="003C6899"/>
    <w:rsid w:val="003D6308"/>
    <w:rsid w:val="003F744B"/>
    <w:rsid w:val="004016FB"/>
    <w:rsid w:val="00402186"/>
    <w:rsid w:val="00404F91"/>
    <w:rsid w:val="00416504"/>
    <w:rsid w:val="00424B85"/>
    <w:rsid w:val="0043384B"/>
    <w:rsid w:val="00487201"/>
    <w:rsid w:val="00493EA5"/>
    <w:rsid w:val="004A7A61"/>
    <w:rsid w:val="004D1C92"/>
    <w:rsid w:val="00500B23"/>
    <w:rsid w:val="005264A7"/>
    <w:rsid w:val="00571470"/>
    <w:rsid w:val="00593B0D"/>
    <w:rsid w:val="005A210F"/>
    <w:rsid w:val="005A4AC1"/>
    <w:rsid w:val="005B45E4"/>
    <w:rsid w:val="005C3E9D"/>
    <w:rsid w:val="005C7267"/>
    <w:rsid w:val="005E305F"/>
    <w:rsid w:val="005E3F50"/>
    <w:rsid w:val="005E4CC3"/>
    <w:rsid w:val="0062498C"/>
    <w:rsid w:val="006348E2"/>
    <w:rsid w:val="006521B2"/>
    <w:rsid w:val="00657DBB"/>
    <w:rsid w:val="006801FD"/>
    <w:rsid w:val="00691547"/>
    <w:rsid w:val="00696CF4"/>
    <w:rsid w:val="006D1AA5"/>
    <w:rsid w:val="006E5502"/>
    <w:rsid w:val="006F17DB"/>
    <w:rsid w:val="00726322"/>
    <w:rsid w:val="00761106"/>
    <w:rsid w:val="00761CEA"/>
    <w:rsid w:val="00791387"/>
    <w:rsid w:val="007A501D"/>
    <w:rsid w:val="00805BDF"/>
    <w:rsid w:val="008122A4"/>
    <w:rsid w:val="00834533"/>
    <w:rsid w:val="008351FE"/>
    <w:rsid w:val="0086761D"/>
    <w:rsid w:val="0088625C"/>
    <w:rsid w:val="008974C6"/>
    <w:rsid w:val="008C18C4"/>
    <w:rsid w:val="008D6F94"/>
    <w:rsid w:val="008D7C09"/>
    <w:rsid w:val="008E3703"/>
    <w:rsid w:val="008E4B63"/>
    <w:rsid w:val="008F4C02"/>
    <w:rsid w:val="00913622"/>
    <w:rsid w:val="009141D4"/>
    <w:rsid w:val="009410B7"/>
    <w:rsid w:val="00967209"/>
    <w:rsid w:val="00971D2F"/>
    <w:rsid w:val="00982752"/>
    <w:rsid w:val="009A2724"/>
    <w:rsid w:val="009B21E1"/>
    <w:rsid w:val="009B4E45"/>
    <w:rsid w:val="009C4E31"/>
    <w:rsid w:val="009E0FAE"/>
    <w:rsid w:val="009E1C6C"/>
    <w:rsid w:val="009F26C9"/>
    <w:rsid w:val="009F6171"/>
    <w:rsid w:val="00A12A05"/>
    <w:rsid w:val="00A459EF"/>
    <w:rsid w:val="00A536F0"/>
    <w:rsid w:val="00A72790"/>
    <w:rsid w:val="00AC3863"/>
    <w:rsid w:val="00AD1440"/>
    <w:rsid w:val="00B23571"/>
    <w:rsid w:val="00B627E7"/>
    <w:rsid w:val="00B82727"/>
    <w:rsid w:val="00B87259"/>
    <w:rsid w:val="00B879E8"/>
    <w:rsid w:val="00BA549A"/>
    <w:rsid w:val="00BB599E"/>
    <w:rsid w:val="00BD0101"/>
    <w:rsid w:val="00BD4467"/>
    <w:rsid w:val="00BE0169"/>
    <w:rsid w:val="00C15E7F"/>
    <w:rsid w:val="00C25955"/>
    <w:rsid w:val="00C3275D"/>
    <w:rsid w:val="00C339C4"/>
    <w:rsid w:val="00C50A91"/>
    <w:rsid w:val="00C5634D"/>
    <w:rsid w:val="00C640AF"/>
    <w:rsid w:val="00C67F64"/>
    <w:rsid w:val="00C84E70"/>
    <w:rsid w:val="00CD58F2"/>
    <w:rsid w:val="00CE69D0"/>
    <w:rsid w:val="00D036E7"/>
    <w:rsid w:val="00D225D9"/>
    <w:rsid w:val="00D348BC"/>
    <w:rsid w:val="00D56F93"/>
    <w:rsid w:val="00D630B8"/>
    <w:rsid w:val="00DE4FFD"/>
    <w:rsid w:val="00DE5479"/>
    <w:rsid w:val="00DF64A3"/>
    <w:rsid w:val="00E010C6"/>
    <w:rsid w:val="00E038B1"/>
    <w:rsid w:val="00E128AD"/>
    <w:rsid w:val="00E46417"/>
    <w:rsid w:val="00E545A2"/>
    <w:rsid w:val="00E807E9"/>
    <w:rsid w:val="00E9127A"/>
    <w:rsid w:val="00E91C92"/>
    <w:rsid w:val="00E94A2D"/>
    <w:rsid w:val="00E96136"/>
    <w:rsid w:val="00EB5D10"/>
    <w:rsid w:val="00F20730"/>
    <w:rsid w:val="00F30101"/>
    <w:rsid w:val="00F67473"/>
    <w:rsid w:val="00F70913"/>
    <w:rsid w:val="00F81960"/>
    <w:rsid w:val="00FA1C5F"/>
    <w:rsid w:val="00FC61D2"/>
    <w:rsid w:val="00FC6969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D1D747"/>
  <w15:docId w15:val="{CC82A6E9-2E35-4992-9175-F82BA8C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E94A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50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348BC"/>
    <w:rPr>
      <w:b/>
      <w:bCs/>
      <w:i w:val="0"/>
      <w:iCs w:val="0"/>
    </w:rPr>
  </w:style>
  <w:style w:type="character" w:customStyle="1" w:styleId="st1">
    <w:name w:val="st1"/>
    <w:basedOn w:val="DefaultParagraphFont"/>
    <w:rsid w:val="00D3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ACAAD-554C-432D-816E-CEA1542C3FC4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DC790038-566D-4CB7-B3E2-16315AEE5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Müller Benjamin EDA MULBN</cp:lastModifiedBy>
  <cp:revision>3</cp:revision>
  <cp:lastPrinted>2018-04-27T14:16:00Z</cp:lastPrinted>
  <dcterms:created xsi:type="dcterms:W3CDTF">2018-05-07T07:20:00Z</dcterms:created>
  <dcterms:modified xsi:type="dcterms:W3CDTF">2018-05-07T09:17:00Z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